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05" w:rsidRPr="00706B4D" w:rsidRDefault="009F0805" w:rsidP="009F0805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ORDENANZA FISCAL N</w:t>
      </w:r>
      <w:r w:rsidRPr="009C663F">
        <w:rPr>
          <w:b/>
          <w:color w:val="0070C0"/>
          <w:sz w:val="32"/>
          <w:szCs w:val="32"/>
        </w:rPr>
        <w:t>º 10, REGULADORA DA TAXA POLO SUBMINISTRO DE AUGA POTABLE E SERVICIOS COMPLEMENTARIOS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b/>
          <w:sz w:val="24"/>
          <w:szCs w:val="24"/>
        </w:rPr>
      </w:pPr>
      <w:r w:rsidRPr="00144ACD">
        <w:rPr>
          <w:rFonts w:cs="Arial"/>
          <w:b/>
          <w:sz w:val="24"/>
          <w:szCs w:val="24"/>
        </w:rPr>
        <w:t xml:space="preserve">Artigo 1. </w:t>
      </w:r>
      <w:r w:rsidRPr="00144ACD">
        <w:rPr>
          <w:b/>
          <w:sz w:val="24"/>
          <w:szCs w:val="24"/>
        </w:rPr>
        <w:t xml:space="preserve">Fundamento e </w:t>
      </w:r>
      <w:proofErr w:type="spellStart"/>
      <w:r w:rsidRPr="00144ACD">
        <w:rPr>
          <w:b/>
          <w:sz w:val="24"/>
          <w:szCs w:val="24"/>
        </w:rPr>
        <w:t>réxime</w:t>
      </w:r>
      <w:proofErr w:type="spellEnd"/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No uso das facultades concedidas polos </w:t>
      </w:r>
      <w:proofErr w:type="spellStart"/>
      <w:r w:rsidRPr="00144ACD">
        <w:rPr>
          <w:sz w:val="24"/>
          <w:szCs w:val="24"/>
        </w:rPr>
        <w:t>artigos</w:t>
      </w:r>
      <w:proofErr w:type="spellEnd"/>
      <w:r w:rsidRPr="00144ACD">
        <w:rPr>
          <w:sz w:val="24"/>
          <w:szCs w:val="24"/>
        </w:rPr>
        <w:t xml:space="preserve"> 133.2 e 142 da Constitución e polo artigo 106 da </w:t>
      </w:r>
      <w:proofErr w:type="spellStart"/>
      <w:r w:rsidRPr="00144ACD">
        <w:rPr>
          <w:sz w:val="24"/>
          <w:szCs w:val="24"/>
        </w:rPr>
        <w:t>Lei</w:t>
      </w:r>
      <w:proofErr w:type="spellEnd"/>
      <w:r w:rsidRPr="00144ACD">
        <w:rPr>
          <w:sz w:val="24"/>
          <w:szCs w:val="24"/>
        </w:rPr>
        <w:t xml:space="preserve"> 7/1985 do 2 de abril, reguladora das bases de </w:t>
      </w:r>
      <w:proofErr w:type="spellStart"/>
      <w:r w:rsidRPr="00144ACD">
        <w:rPr>
          <w:sz w:val="24"/>
          <w:szCs w:val="24"/>
        </w:rPr>
        <w:t>réxime</w:t>
      </w:r>
      <w:proofErr w:type="spellEnd"/>
      <w:r w:rsidRPr="00144ACD">
        <w:rPr>
          <w:sz w:val="24"/>
          <w:szCs w:val="24"/>
        </w:rPr>
        <w:t xml:space="preserve"> local e de </w:t>
      </w:r>
      <w:proofErr w:type="spellStart"/>
      <w:r w:rsidRPr="00144ACD">
        <w:rPr>
          <w:sz w:val="24"/>
          <w:szCs w:val="24"/>
        </w:rPr>
        <w:t>conformidade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co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disposto</w:t>
      </w:r>
      <w:proofErr w:type="spellEnd"/>
      <w:r w:rsidRPr="00144ACD">
        <w:rPr>
          <w:sz w:val="24"/>
          <w:szCs w:val="24"/>
        </w:rPr>
        <w:t xml:space="preserve"> no artigo 57 en relación </w:t>
      </w:r>
      <w:proofErr w:type="spellStart"/>
      <w:r w:rsidRPr="00144ACD">
        <w:rPr>
          <w:sz w:val="24"/>
          <w:szCs w:val="24"/>
        </w:rPr>
        <w:t>co</w:t>
      </w:r>
      <w:proofErr w:type="spellEnd"/>
      <w:r w:rsidRPr="00144ACD">
        <w:rPr>
          <w:sz w:val="24"/>
          <w:szCs w:val="24"/>
        </w:rPr>
        <w:t xml:space="preserve"> artigo 20 do Real Decreto </w:t>
      </w:r>
      <w:proofErr w:type="spellStart"/>
      <w:r w:rsidRPr="00144ACD">
        <w:rPr>
          <w:sz w:val="24"/>
          <w:szCs w:val="24"/>
        </w:rPr>
        <w:t>Lexislativo</w:t>
      </w:r>
      <w:proofErr w:type="spellEnd"/>
      <w:r w:rsidRPr="00144ACD">
        <w:rPr>
          <w:sz w:val="24"/>
          <w:szCs w:val="24"/>
        </w:rPr>
        <w:t xml:space="preserve"> 2/2005, do 5 de marzo, polo que se </w:t>
      </w:r>
      <w:proofErr w:type="spellStart"/>
      <w:r w:rsidRPr="00144ACD">
        <w:rPr>
          <w:sz w:val="24"/>
          <w:szCs w:val="24"/>
        </w:rPr>
        <w:t>aproba</w:t>
      </w:r>
      <w:proofErr w:type="spellEnd"/>
      <w:r w:rsidRPr="00144ACD">
        <w:rPr>
          <w:sz w:val="24"/>
          <w:szCs w:val="24"/>
        </w:rPr>
        <w:t xml:space="preserve"> o texto refundido da </w:t>
      </w:r>
      <w:proofErr w:type="spellStart"/>
      <w:r w:rsidRPr="00144ACD">
        <w:rPr>
          <w:sz w:val="24"/>
          <w:szCs w:val="24"/>
        </w:rPr>
        <w:t>Lei</w:t>
      </w:r>
      <w:proofErr w:type="spellEnd"/>
      <w:r w:rsidRPr="00144ACD">
        <w:rPr>
          <w:sz w:val="24"/>
          <w:szCs w:val="24"/>
        </w:rPr>
        <w:t xml:space="preserve"> Reguladora das </w:t>
      </w:r>
      <w:proofErr w:type="spellStart"/>
      <w:r w:rsidRPr="00144ACD">
        <w:rPr>
          <w:sz w:val="24"/>
          <w:szCs w:val="24"/>
        </w:rPr>
        <w:t>Facendas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Locais</w:t>
      </w:r>
      <w:proofErr w:type="spellEnd"/>
      <w:r w:rsidRPr="00144ACD">
        <w:rPr>
          <w:sz w:val="24"/>
          <w:szCs w:val="24"/>
        </w:rPr>
        <w:t xml:space="preserve">, o Concello de </w:t>
      </w:r>
      <w:proofErr w:type="spellStart"/>
      <w:r w:rsidRPr="00144ACD">
        <w:rPr>
          <w:sz w:val="24"/>
          <w:szCs w:val="24"/>
        </w:rPr>
        <w:t>Tordoia</w:t>
      </w:r>
      <w:proofErr w:type="spellEnd"/>
      <w:r w:rsidRPr="00144ACD">
        <w:rPr>
          <w:sz w:val="24"/>
          <w:szCs w:val="24"/>
        </w:rPr>
        <w:t xml:space="preserve"> estable a </w:t>
      </w:r>
      <w:proofErr w:type="spellStart"/>
      <w:r w:rsidRPr="00144ACD">
        <w:rPr>
          <w:sz w:val="24"/>
          <w:szCs w:val="24"/>
        </w:rPr>
        <w:t>taxa</w:t>
      </w:r>
      <w:proofErr w:type="spellEnd"/>
      <w:r w:rsidRPr="00144ACD">
        <w:rPr>
          <w:sz w:val="24"/>
          <w:szCs w:val="24"/>
        </w:rPr>
        <w:t xml:space="preserve"> polo subministro de </w:t>
      </w:r>
      <w:proofErr w:type="spellStart"/>
      <w:r w:rsidRPr="00144ACD">
        <w:rPr>
          <w:sz w:val="24"/>
          <w:szCs w:val="24"/>
        </w:rPr>
        <w:t>auga</w:t>
      </w:r>
      <w:proofErr w:type="spellEnd"/>
      <w:r w:rsidRPr="00144ACD">
        <w:rPr>
          <w:sz w:val="24"/>
          <w:szCs w:val="24"/>
        </w:rPr>
        <w:t xml:space="preserve"> potable e servicios complementarios, </w:t>
      </w:r>
      <w:proofErr w:type="spellStart"/>
      <w:r w:rsidRPr="00144ACD">
        <w:rPr>
          <w:sz w:val="24"/>
          <w:szCs w:val="24"/>
        </w:rPr>
        <w:t>incluídos</w:t>
      </w:r>
      <w:proofErr w:type="spellEnd"/>
      <w:r w:rsidRPr="00144ACD">
        <w:rPr>
          <w:sz w:val="24"/>
          <w:szCs w:val="24"/>
        </w:rPr>
        <w:t xml:space="preserve"> os </w:t>
      </w:r>
      <w:proofErr w:type="spellStart"/>
      <w:r w:rsidRPr="00144ACD">
        <w:rPr>
          <w:sz w:val="24"/>
          <w:szCs w:val="24"/>
        </w:rPr>
        <w:t>dereitos</w:t>
      </w:r>
      <w:proofErr w:type="spellEnd"/>
      <w:r w:rsidRPr="00144ACD">
        <w:rPr>
          <w:sz w:val="24"/>
          <w:szCs w:val="24"/>
        </w:rPr>
        <w:t xml:space="preserve"> de enganche de </w:t>
      </w:r>
      <w:proofErr w:type="spellStart"/>
      <w:r w:rsidRPr="00144ACD">
        <w:rPr>
          <w:sz w:val="24"/>
          <w:szCs w:val="24"/>
        </w:rPr>
        <w:t>liñas</w:t>
      </w:r>
      <w:proofErr w:type="spellEnd"/>
      <w:r w:rsidRPr="00144ACD">
        <w:rPr>
          <w:sz w:val="24"/>
          <w:szCs w:val="24"/>
        </w:rPr>
        <w:t xml:space="preserve">, colocación e utilización de contadores, que se regulará </w:t>
      </w:r>
      <w:proofErr w:type="spellStart"/>
      <w:r w:rsidRPr="00144ACD">
        <w:rPr>
          <w:sz w:val="24"/>
          <w:szCs w:val="24"/>
        </w:rPr>
        <w:t>pola</w:t>
      </w:r>
      <w:proofErr w:type="spellEnd"/>
      <w:r w:rsidRPr="00144ACD">
        <w:rPr>
          <w:sz w:val="24"/>
          <w:szCs w:val="24"/>
        </w:rPr>
        <w:t xml:space="preserve"> presente ordenanza fiscal, redactada conforme </w:t>
      </w:r>
      <w:proofErr w:type="spellStart"/>
      <w:r w:rsidRPr="00144ACD">
        <w:rPr>
          <w:sz w:val="24"/>
          <w:szCs w:val="24"/>
        </w:rPr>
        <w:t>ó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disposto</w:t>
      </w:r>
      <w:proofErr w:type="spellEnd"/>
      <w:r w:rsidRPr="00144ACD">
        <w:rPr>
          <w:sz w:val="24"/>
          <w:szCs w:val="24"/>
        </w:rPr>
        <w:t xml:space="preserve"> no artigo 16 do citado R.D.L.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44ACD">
        <w:rPr>
          <w:rFonts w:cs="Arial"/>
          <w:b/>
          <w:sz w:val="24"/>
          <w:szCs w:val="24"/>
        </w:rPr>
        <w:t xml:space="preserve">Artigo 2. </w:t>
      </w:r>
      <w:proofErr w:type="spellStart"/>
      <w:r w:rsidRPr="00144ACD">
        <w:rPr>
          <w:rFonts w:cs="Arial"/>
          <w:b/>
          <w:sz w:val="24"/>
          <w:szCs w:val="24"/>
        </w:rPr>
        <w:t>Feito</w:t>
      </w:r>
      <w:proofErr w:type="spellEnd"/>
      <w:r w:rsidRPr="00144ACD">
        <w:rPr>
          <w:rFonts w:cs="Arial"/>
          <w:b/>
          <w:sz w:val="24"/>
          <w:szCs w:val="24"/>
        </w:rPr>
        <w:t xml:space="preserve"> </w:t>
      </w:r>
      <w:proofErr w:type="spellStart"/>
      <w:r w:rsidRPr="00144ACD">
        <w:rPr>
          <w:rFonts w:cs="Arial"/>
          <w:b/>
          <w:sz w:val="24"/>
          <w:szCs w:val="24"/>
        </w:rPr>
        <w:t>impoñible</w:t>
      </w:r>
      <w:proofErr w:type="spellEnd"/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44ACD">
        <w:rPr>
          <w:sz w:val="24"/>
          <w:szCs w:val="24"/>
        </w:rPr>
        <w:t>Constitúe</w:t>
      </w:r>
      <w:proofErr w:type="spellEnd"/>
      <w:r w:rsidRPr="00144ACD">
        <w:rPr>
          <w:sz w:val="24"/>
          <w:szCs w:val="24"/>
        </w:rPr>
        <w:t xml:space="preserve"> o </w:t>
      </w:r>
      <w:proofErr w:type="spellStart"/>
      <w:r w:rsidRPr="00144ACD">
        <w:rPr>
          <w:sz w:val="24"/>
          <w:szCs w:val="24"/>
        </w:rPr>
        <w:t>feito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impoñible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desta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taxa</w:t>
      </w:r>
      <w:proofErr w:type="spellEnd"/>
      <w:r w:rsidRPr="00144ACD">
        <w:rPr>
          <w:sz w:val="24"/>
          <w:szCs w:val="24"/>
        </w:rPr>
        <w:t xml:space="preserve">, a prestación do servicio da distribución de </w:t>
      </w:r>
      <w:proofErr w:type="spellStart"/>
      <w:r w:rsidRPr="00144ACD">
        <w:rPr>
          <w:sz w:val="24"/>
          <w:szCs w:val="24"/>
        </w:rPr>
        <w:t>auga</w:t>
      </w:r>
      <w:proofErr w:type="spellEnd"/>
      <w:r w:rsidRPr="00144ACD">
        <w:rPr>
          <w:sz w:val="24"/>
          <w:szCs w:val="24"/>
        </w:rPr>
        <w:t xml:space="preserve"> potable a domicilio, e </w:t>
      </w:r>
      <w:proofErr w:type="spellStart"/>
      <w:r w:rsidRPr="00144ACD">
        <w:rPr>
          <w:sz w:val="24"/>
          <w:szCs w:val="24"/>
        </w:rPr>
        <w:t>saneamento</w:t>
      </w:r>
      <w:proofErr w:type="spellEnd"/>
      <w:r w:rsidRPr="00144ACD">
        <w:rPr>
          <w:sz w:val="24"/>
          <w:szCs w:val="24"/>
        </w:rPr>
        <w:t xml:space="preserve"> no termo municipal, o enganche de </w:t>
      </w:r>
      <w:proofErr w:type="spellStart"/>
      <w:r w:rsidRPr="00144ACD">
        <w:rPr>
          <w:sz w:val="24"/>
          <w:szCs w:val="24"/>
        </w:rPr>
        <w:t>liñas</w:t>
      </w:r>
      <w:proofErr w:type="spellEnd"/>
      <w:r w:rsidRPr="00144ACD">
        <w:rPr>
          <w:sz w:val="24"/>
          <w:szCs w:val="24"/>
        </w:rPr>
        <w:t xml:space="preserve"> á rede </w:t>
      </w:r>
      <w:proofErr w:type="spellStart"/>
      <w:r w:rsidRPr="00144ACD">
        <w:rPr>
          <w:sz w:val="24"/>
          <w:szCs w:val="24"/>
        </w:rPr>
        <w:t>xeral</w:t>
      </w:r>
      <w:proofErr w:type="spellEnd"/>
      <w:r w:rsidRPr="00144ACD">
        <w:rPr>
          <w:sz w:val="24"/>
          <w:szCs w:val="24"/>
        </w:rPr>
        <w:t xml:space="preserve"> e a colocación e utilización de contadores.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44ACD">
        <w:rPr>
          <w:rFonts w:cs="Arial"/>
          <w:b/>
          <w:sz w:val="24"/>
          <w:szCs w:val="24"/>
        </w:rPr>
        <w:t>Artigo 3. Cobro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1) A </w:t>
      </w:r>
      <w:proofErr w:type="spellStart"/>
      <w:r w:rsidRPr="00144ACD">
        <w:rPr>
          <w:sz w:val="24"/>
          <w:szCs w:val="24"/>
        </w:rPr>
        <w:t>obriga</w:t>
      </w:r>
      <w:proofErr w:type="spellEnd"/>
      <w:r w:rsidRPr="00144ACD">
        <w:rPr>
          <w:sz w:val="24"/>
          <w:szCs w:val="24"/>
        </w:rPr>
        <w:t xml:space="preserve"> de </w:t>
      </w:r>
      <w:proofErr w:type="spellStart"/>
      <w:r w:rsidRPr="00144ACD">
        <w:rPr>
          <w:sz w:val="24"/>
          <w:szCs w:val="24"/>
        </w:rPr>
        <w:t>contribuír</w:t>
      </w:r>
      <w:proofErr w:type="spellEnd"/>
      <w:r w:rsidRPr="00144ACD">
        <w:rPr>
          <w:sz w:val="24"/>
          <w:szCs w:val="24"/>
        </w:rPr>
        <w:t xml:space="preserve"> nacerá no momento de prestarse o servicio previa a </w:t>
      </w:r>
      <w:proofErr w:type="spellStart"/>
      <w:r w:rsidRPr="00144ACD">
        <w:rPr>
          <w:sz w:val="24"/>
          <w:szCs w:val="24"/>
        </w:rPr>
        <w:t>correspondente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solicitude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ou</w:t>
      </w:r>
      <w:proofErr w:type="spellEnd"/>
      <w:r w:rsidRPr="00144ACD">
        <w:rPr>
          <w:sz w:val="24"/>
          <w:szCs w:val="24"/>
        </w:rPr>
        <w:t xml:space="preserve"> desde que se utilice este </w:t>
      </w:r>
      <w:proofErr w:type="spellStart"/>
      <w:r w:rsidRPr="00144ACD">
        <w:rPr>
          <w:sz w:val="24"/>
          <w:szCs w:val="24"/>
        </w:rPr>
        <w:t>sen</w:t>
      </w:r>
      <w:proofErr w:type="spellEnd"/>
      <w:r w:rsidRPr="00144ACD">
        <w:rPr>
          <w:sz w:val="24"/>
          <w:szCs w:val="24"/>
        </w:rPr>
        <w:t xml:space="preserve"> ter </w:t>
      </w:r>
      <w:proofErr w:type="spellStart"/>
      <w:r w:rsidRPr="00144ACD">
        <w:rPr>
          <w:sz w:val="24"/>
          <w:szCs w:val="24"/>
        </w:rPr>
        <w:t>obtido</w:t>
      </w:r>
      <w:proofErr w:type="spellEnd"/>
      <w:r w:rsidRPr="00144ACD">
        <w:rPr>
          <w:sz w:val="24"/>
          <w:szCs w:val="24"/>
        </w:rPr>
        <w:t xml:space="preserve"> a previa licencia, </w:t>
      </w:r>
      <w:proofErr w:type="spellStart"/>
      <w:r w:rsidRPr="00144ACD">
        <w:rPr>
          <w:sz w:val="24"/>
          <w:szCs w:val="24"/>
        </w:rPr>
        <w:t>debendo</w:t>
      </w:r>
      <w:proofErr w:type="spellEnd"/>
      <w:r w:rsidRPr="00144ACD">
        <w:rPr>
          <w:sz w:val="24"/>
          <w:szCs w:val="24"/>
        </w:rPr>
        <w:t xml:space="preserve"> depositarse previamente o pago </w:t>
      </w:r>
      <w:proofErr w:type="spellStart"/>
      <w:r w:rsidRPr="00144ACD">
        <w:rPr>
          <w:sz w:val="24"/>
          <w:szCs w:val="24"/>
        </w:rPr>
        <w:t>correspondente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ó</w:t>
      </w:r>
      <w:proofErr w:type="spellEnd"/>
      <w:r w:rsidRPr="00144ACD">
        <w:rPr>
          <w:sz w:val="24"/>
          <w:szCs w:val="24"/>
        </w:rPr>
        <w:t xml:space="preserve"> enganche.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2) A </w:t>
      </w:r>
      <w:proofErr w:type="spellStart"/>
      <w:r w:rsidRPr="00144ACD">
        <w:rPr>
          <w:sz w:val="24"/>
          <w:szCs w:val="24"/>
        </w:rPr>
        <w:t>obriga</w:t>
      </w:r>
      <w:proofErr w:type="spellEnd"/>
      <w:r w:rsidRPr="00144ACD">
        <w:rPr>
          <w:sz w:val="24"/>
          <w:szCs w:val="24"/>
        </w:rPr>
        <w:t xml:space="preserve"> do pago da </w:t>
      </w:r>
      <w:proofErr w:type="spellStart"/>
      <w:r w:rsidRPr="00144ACD">
        <w:rPr>
          <w:sz w:val="24"/>
          <w:szCs w:val="24"/>
        </w:rPr>
        <w:t>taxa</w:t>
      </w:r>
      <w:proofErr w:type="spellEnd"/>
      <w:r w:rsidRPr="00144ACD">
        <w:rPr>
          <w:sz w:val="24"/>
          <w:szCs w:val="24"/>
        </w:rPr>
        <w:t xml:space="preserve"> regulada </w:t>
      </w:r>
      <w:proofErr w:type="spellStart"/>
      <w:r w:rsidRPr="00144ACD">
        <w:rPr>
          <w:sz w:val="24"/>
          <w:szCs w:val="24"/>
        </w:rPr>
        <w:t>nesta</w:t>
      </w:r>
      <w:proofErr w:type="spellEnd"/>
      <w:r w:rsidRPr="00144ACD">
        <w:rPr>
          <w:sz w:val="24"/>
          <w:szCs w:val="24"/>
        </w:rPr>
        <w:t xml:space="preserve"> ordenanza </w:t>
      </w:r>
      <w:proofErr w:type="spellStart"/>
      <w:r w:rsidRPr="00144ACD">
        <w:rPr>
          <w:sz w:val="24"/>
          <w:szCs w:val="24"/>
        </w:rPr>
        <w:t>establécese</w:t>
      </w:r>
      <w:proofErr w:type="spellEnd"/>
      <w:r w:rsidRPr="00144ACD">
        <w:rPr>
          <w:sz w:val="24"/>
          <w:szCs w:val="24"/>
        </w:rPr>
        <w:t xml:space="preserve"> da forma </w:t>
      </w:r>
      <w:proofErr w:type="spellStart"/>
      <w:r w:rsidRPr="00144ACD">
        <w:rPr>
          <w:sz w:val="24"/>
          <w:szCs w:val="24"/>
        </w:rPr>
        <w:t>seguinte</w:t>
      </w:r>
      <w:proofErr w:type="spellEnd"/>
      <w:r w:rsidRPr="00144ACD">
        <w:rPr>
          <w:sz w:val="24"/>
          <w:szCs w:val="24"/>
        </w:rPr>
        <w:t>: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- </w:t>
      </w:r>
      <w:proofErr w:type="spellStart"/>
      <w:r w:rsidRPr="00144ACD">
        <w:rPr>
          <w:sz w:val="24"/>
          <w:szCs w:val="24"/>
        </w:rPr>
        <w:t>Taxa</w:t>
      </w:r>
      <w:proofErr w:type="spellEnd"/>
      <w:r w:rsidRPr="00144ACD">
        <w:rPr>
          <w:sz w:val="24"/>
          <w:szCs w:val="24"/>
        </w:rPr>
        <w:t xml:space="preserve"> de conexión, antes de efectuarse a conexión e se entenderá como </w:t>
      </w:r>
      <w:proofErr w:type="spellStart"/>
      <w:r w:rsidRPr="00144ACD">
        <w:rPr>
          <w:sz w:val="24"/>
          <w:szCs w:val="24"/>
        </w:rPr>
        <w:t>taxa</w:t>
      </w:r>
      <w:proofErr w:type="spellEnd"/>
      <w:r w:rsidRPr="00144ACD">
        <w:rPr>
          <w:sz w:val="24"/>
          <w:szCs w:val="24"/>
        </w:rPr>
        <w:t xml:space="preserve"> única e definitiva.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- </w:t>
      </w:r>
      <w:proofErr w:type="spellStart"/>
      <w:r w:rsidRPr="00144ACD">
        <w:rPr>
          <w:sz w:val="24"/>
          <w:szCs w:val="24"/>
        </w:rPr>
        <w:t>Taxa</w:t>
      </w:r>
      <w:proofErr w:type="spellEnd"/>
      <w:r w:rsidRPr="00144ACD">
        <w:rPr>
          <w:sz w:val="24"/>
          <w:szCs w:val="24"/>
        </w:rPr>
        <w:t xml:space="preserve"> por consumo e </w:t>
      </w:r>
      <w:proofErr w:type="spellStart"/>
      <w:r w:rsidRPr="00144ACD">
        <w:rPr>
          <w:sz w:val="24"/>
          <w:szCs w:val="24"/>
        </w:rPr>
        <w:t>saneamento</w:t>
      </w:r>
      <w:proofErr w:type="spellEnd"/>
      <w:r w:rsidRPr="00144ACD">
        <w:rPr>
          <w:sz w:val="24"/>
          <w:szCs w:val="24"/>
        </w:rPr>
        <w:t xml:space="preserve">, </w:t>
      </w:r>
      <w:proofErr w:type="spellStart"/>
      <w:r w:rsidRPr="00144ACD">
        <w:rPr>
          <w:sz w:val="24"/>
          <w:szCs w:val="24"/>
        </w:rPr>
        <w:t>dende</w:t>
      </w:r>
      <w:proofErr w:type="spellEnd"/>
      <w:r w:rsidRPr="00144ACD">
        <w:rPr>
          <w:sz w:val="24"/>
          <w:szCs w:val="24"/>
        </w:rPr>
        <w:t xml:space="preserve"> o momento no que se inicie a prestación do servicio e a </w:t>
      </w:r>
      <w:proofErr w:type="spellStart"/>
      <w:r w:rsidRPr="00144ACD">
        <w:rPr>
          <w:sz w:val="24"/>
          <w:szCs w:val="24"/>
        </w:rPr>
        <w:t>súa</w:t>
      </w:r>
      <w:proofErr w:type="spellEnd"/>
      <w:r w:rsidRPr="00144ACD">
        <w:rPr>
          <w:sz w:val="24"/>
          <w:szCs w:val="24"/>
        </w:rPr>
        <w:t xml:space="preserve"> facturación e cobro, </w:t>
      </w:r>
      <w:proofErr w:type="spellStart"/>
      <w:r w:rsidRPr="00144ACD">
        <w:rPr>
          <w:sz w:val="24"/>
          <w:szCs w:val="24"/>
        </w:rPr>
        <w:t>efectuaranse</w:t>
      </w:r>
      <w:proofErr w:type="spellEnd"/>
      <w:r w:rsidRPr="00144ACD">
        <w:rPr>
          <w:sz w:val="24"/>
          <w:szCs w:val="24"/>
        </w:rPr>
        <w:t xml:space="preserve"> con </w:t>
      </w:r>
      <w:proofErr w:type="spellStart"/>
      <w:r w:rsidRPr="00144ACD">
        <w:rPr>
          <w:sz w:val="24"/>
          <w:szCs w:val="24"/>
        </w:rPr>
        <w:t>periodicidade</w:t>
      </w:r>
      <w:proofErr w:type="spellEnd"/>
      <w:r w:rsidRPr="00144ACD">
        <w:rPr>
          <w:sz w:val="24"/>
          <w:szCs w:val="24"/>
        </w:rPr>
        <w:t xml:space="preserve"> trimestral.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O </w:t>
      </w:r>
      <w:proofErr w:type="spellStart"/>
      <w:r w:rsidRPr="00144ACD">
        <w:rPr>
          <w:sz w:val="24"/>
          <w:szCs w:val="24"/>
        </w:rPr>
        <w:t>prezo</w:t>
      </w:r>
      <w:proofErr w:type="spellEnd"/>
      <w:r w:rsidRPr="00144ACD">
        <w:rPr>
          <w:sz w:val="24"/>
          <w:szCs w:val="24"/>
        </w:rPr>
        <w:t xml:space="preserve"> de dita </w:t>
      </w:r>
      <w:proofErr w:type="spellStart"/>
      <w:r w:rsidRPr="00144ACD">
        <w:rPr>
          <w:sz w:val="24"/>
          <w:szCs w:val="24"/>
        </w:rPr>
        <w:t>taxa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efectuarase</w:t>
      </w:r>
      <w:proofErr w:type="spellEnd"/>
      <w:r w:rsidRPr="00144ACD">
        <w:rPr>
          <w:sz w:val="24"/>
          <w:szCs w:val="24"/>
        </w:rPr>
        <w:t xml:space="preserve"> no momento de presentación, </w:t>
      </w:r>
      <w:proofErr w:type="spellStart"/>
      <w:r w:rsidRPr="00144ACD">
        <w:rPr>
          <w:sz w:val="24"/>
          <w:szCs w:val="24"/>
        </w:rPr>
        <w:t>ó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obrigado</w:t>
      </w:r>
      <w:proofErr w:type="spellEnd"/>
      <w:r w:rsidRPr="00144ACD">
        <w:rPr>
          <w:sz w:val="24"/>
          <w:szCs w:val="24"/>
        </w:rPr>
        <w:t xml:space="preserve"> a </w:t>
      </w:r>
      <w:proofErr w:type="spellStart"/>
      <w:r w:rsidRPr="00144ACD">
        <w:rPr>
          <w:sz w:val="24"/>
          <w:szCs w:val="24"/>
        </w:rPr>
        <w:t>realizalo</w:t>
      </w:r>
      <w:proofErr w:type="spellEnd"/>
      <w:r w:rsidRPr="00144ACD">
        <w:rPr>
          <w:sz w:val="24"/>
          <w:szCs w:val="24"/>
        </w:rPr>
        <w:t xml:space="preserve"> da </w:t>
      </w:r>
      <w:proofErr w:type="spellStart"/>
      <w:r w:rsidRPr="00144ACD">
        <w:rPr>
          <w:sz w:val="24"/>
          <w:szCs w:val="24"/>
        </w:rPr>
        <w:t>correspondente</w:t>
      </w:r>
      <w:proofErr w:type="spellEnd"/>
      <w:r w:rsidRPr="00144ACD">
        <w:rPr>
          <w:sz w:val="24"/>
          <w:szCs w:val="24"/>
        </w:rPr>
        <w:t xml:space="preserve"> factura.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As </w:t>
      </w:r>
      <w:proofErr w:type="spellStart"/>
      <w:r w:rsidRPr="00144ACD">
        <w:rPr>
          <w:sz w:val="24"/>
          <w:szCs w:val="24"/>
        </w:rPr>
        <w:t>débedas</w:t>
      </w:r>
      <w:proofErr w:type="spellEnd"/>
      <w:r w:rsidRPr="00144ACD">
        <w:rPr>
          <w:sz w:val="24"/>
          <w:szCs w:val="24"/>
        </w:rPr>
        <w:t xml:space="preserve"> por esta </w:t>
      </w:r>
      <w:proofErr w:type="spellStart"/>
      <w:r w:rsidRPr="00144ACD">
        <w:rPr>
          <w:sz w:val="24"/>
          <w:szCs w:val="24"/>
        </w:rPr>
        <w:t>taxa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poderán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esixirse</w:t>
      </w:r>
      <w:proofErr w:type="spellEnd"/>
      <w:r w:rsidRPr="00144ACD">
        <w:rPr>
          <w:sz w:val="24"/>
          <w:szCs w:val="24"/>
        </w:rPr>
        <w:t xml:space="preserve"> polo </w:t>
      </w:r>
      <w:proofErr w:type="spellStart"/>
      <w:r w:rsidRPr="00144ACD">
        <w:rPr>
          <w:sz w:val="24"/>
          <w:szCs w:val="24"/>
        </w:rPr>
        <w:t>procedemento</w:t>
      </w:r>
      <w:proofErr w:type="spellEnd"/>
      <w:r w:rsidRPr="00144ACD">
        <w:rPr>
          <w:sz w:val="24"/>
          <w:szCs w:val="24"/>
        </w:rPr>
        <w:t xml:space="preserve"> de </w:t>
      </w:r>
      <w:proofErr w:type="spellStart"/>
      <w:r w:rsidRPr="00144ACD">
        <w:rPr>
          <w:sz w:val="24"/>
          <w:szCs w:val="24"/>
        </w:rPr>
        <w:t>constrinximento</w:t>
      </w:r>
      <w:proofErr w:type="spellEnd"/>
      <w:r w:rsidRPr="00144ACD">
        <w:rPr>
          <w:sz w:val="24"/>
          <w:szCs w:val="24"/>
        </w:rPr>
        <w:t xml:space="preserve">, de </w:t>
      </w:r>
      <w:proofErr w:type="spellStart"/>
      <w:r w:rsidRPr="00144ACD">
        <w:rPr>
          <w:sz w:val="24"/>
          <w:szCs w:val="24"/>
        </w:rPr>
        <w:t>acordo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co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regulamento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xeral</w:t>
      </w:r>
      <w:proofErr w:type="spellEnd"/>
      <w:r w:rsidRPr="00144ACD">
        <w:rPr>
          <w:sz w:val="24"/>
          <w:szCs w:val="24"/>
        </w:rPr>
        <w:t xml:space="preserve"> de </w:t>
      </w:r>
      <w:proofErr w:type="spellStart"/>
      <w:r w:rsidRPr="00144ACD">
        <w:rPr>
          <w:sz w:val="24"/>
          <w:szCs w:val="24"/>
        </w:rPr>
        <w:t>Recadación</w:t>
      </w:r>
      <w:proofErr w:type="spellEnd"/>
      <w:r w:rsidRPr="00144ACD">
        <w:rPr>
          <w:sz w:val="24"/>
          <w:szCs w:val="24"/>
        </w:rPr>
        <w:t xml:space="preserve">. O impago de tres </w:t>
      </w:r>
      <w:proofErr w:type="spellStart"/>
      <w:r w:rsidRPr="00144ACD">
        <w:rPr>
          <w:sz w:val="24"/>
          <w:szCs w:val="24"/>
        </w:rPr>
        <w:t>facturacións</w:t>
      </w:r>
      <w:proofErr w:type="spellEnd"/>
      <w:r w:rsidRPr="00144ACD">
        <w:rPr>
          <w:sz w:val="24"/>
          <w:szCs w:val="24"/>
        </w:rPr>
        <w:t xml:space="preserve"> consecutivas será motivo suficiente para cortar o subministro de </w:t>
      </w:r>
      <w:proofErr w:type="spellStart"/>
      <w:r w:rsidRPr="00144ACD">
        <w:rPr>
          <w:sz w:val="24"/>
          <w:szCs w:val="24"/>
        </w:rPr>
        <w:t>auga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ó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obrigado</w:t>
      </w:r>
      <w:proofErr w:type="spellEnd"/>
      <w:r w:rsidRPr="00144ACD">
        <w:rPr>
          <w:sz w:val="24"/>
          <w:szCs w:val="24"/>
        </w:rPr>
        <w:t xml:space="preserve"> moroso.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44ACD">
        <w:rPr>
          <w:rFonts w:cs="Arial"/>
          <w:b/>
          <w:sz w:val="24"/>
          <w:szCs w:val="24"/>
        </w:rPr>
        <w:t xml:space="preserve">Artigo 4. </w:t>
      </w:r>
      <w:proofErr w:type="spellStart"/>
      <w:r w:rsidRPr="00144ACD">
        <w:rPr>
          <w:rFonts w:cs="Arial"/>
          <w:b/>
          <w:sz w:val="24"/>
          <w:szCs w:val="24"/>
        </w:rPr>
        <w:t>Suxeitos</w:t>
      </w:r>
      <w:proofErr w:type="spellEnd"/>
      <w:r w:rsidRPr="00144ACD">
        <w:rPr>
          <w:rFonts w:cs="Arial"/>
          <w:b/>
          <w:sz w:val="24"/>
          <w:szCs w:val="24"/>
        </w:rPr>
        <w:t xml:space="preserve"> pasivos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Son </w:t>
      </w:r>
      <w:proofErr w:type="spellStart"/>
      <w:r w:rsidRPr="00144ACD">
        <w:rPr>
          <w:sz w:val="24"/>
          <w:szCs w:val="24"/>
        </w:rPr>
        <w:t>suxeitos</w:t>
      </w:r>
      <w:proofErr w:type="spellEnd"/>
      <w:r w:rsidRPr="00144ACD">
        <w:rPr>
          <w:sz w:val="24"/>
          <w:szCs w:val="24"/>
        </w:rPr>
        <w:t xml:space="preserve"> pasivos da </w:t>
      </w:r>
      <w:proofErr w:type="spellStart"/>
      <w:r w:rsidRPr="00144ACD">
        <w:rPr>
          <w:sz w:val="24"/>
          <w:szCs w:val="24"/>
        </w:rPr>
        <w:t>taxa</w:t>
      </w:r>
      <w:proofErr w:type="spellEnd"/>
      <w:r w:rsidRPr="00144ACD">
        <w:rPr>
          <w:sz w:val="24"/>
          <w:szCs w:val="24"/>
        </w:rPr>
        <w:t xml:space="preserve"> en concepto de </w:t>
      </w:r>
      <w:proofErr w:type="spellStart"/>
      <w:r w:rsidRPr="00144ACD">
        <w:rPr>
          <w:sz w:val="24"/>
          <w:szCs w:val="24"/>
        </w:rPr>
        <w:t>contribuíntes</w:t>
      </w:r>
      <w:proofErr w:type="spellEnd"/>
      <w:r w:rsidRPr="00144ACD">
        <w:rPr>
          <w:sz w:val="24"/>
          <w:szCs w:val="24"/>
        </w:rPr>
        <w:t xml:space="preserve">, as </w:t>
      </w:r>
      <w:proofErr w:type="spellStart"/>
      <w:r w:rsidRPr="00144ACD">
        <w:rPr>
          <w:sz w:val="24"/>
          <w:szCs w:val="24"/>
        </w:rPr>
        <w:t>persoas</w:t>
      </w:r>
      <w:proofErr w:type="spellEnd"/>
      <w:r w:rsidRPr="00144ACD">
        <w:rPr>
          <w:sz w:val="24"/>
          <w:szCs w:val="24"/>
        </w:rPr>
        <w:t xml:space="preserve"> físicas e </w:t>
      </w:r>
      <w:proofErr w:type="spellStart"/>
      <w:r w:rsidRPr="00144ACD">
        <w:rPr>
          <w:sz w:val="24"/>
          <w:szCs w:val="24"/>
        </w:rPr>
        <w:t>xurídicas</w:t>
      </w:r>
      <w:proofErr w:type="spellEnd"/>
      <w:r w:rsidRPr="00144ACD">
        <w:rPr>
          <w:sz w:val="24"/>
          <w:szCs w:val="24"/>
        </w:rPr>
        <w:t xml:space="preserve">, así como </w:t>
      </w:r>
      <w:proofErr w:type="spellStart"/>
      <w:r w:rsidRPr="00144ACD">
        <w:rPr>
          <w:sz w:val="24"/>
          <w:szCs w:val="24"/>
        </w:rPr>
        <w:t>as</w:t>
      </w:r>
      <w:proofErr w:type="spellEnd"/>
      <w:r w:rsidRPr="00144ACD">
        <w:rPr>
          <w:sz w:val="24"/>
          <w:szCs w:val="24"/>
        </w:rPr>
        <w:t xml:space="preserve"> entidades a que se </w:t>
      </w:r>
      <w:proofErr w:type="spellStart"/>
      <w:r w:rsidRPr="00144ACD">
        <w:rPr>
          <w:sz w:val="24"/>
          <w:szCs w:val="24"/>
        </w:rPr>
        <w:t>refire</w:t>
      </w:r>
      <w:proofErr w:type="spellEnd"/>
      <w:r w:rsidRPr="00144ACD">
        <w:rPr>
          <w:sz w:val="24"/>
          <w:szCs w:val="24"/>
        </w:rPr>
        <w:t xml:space="preserve"> o artigo 33 da </w:t>
      </w:r>
      <w:proofErr w:type="spellStart"/>
      <w:r w:rsidRPr="00144ACD">
        <w:rPr>
          <w:sz w:val="24"/>
          <w:szCs w:val="24"/>
        </w:rPr>
        <w:t>Lei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Xeral</w:t>
      </w:r>
      <w:proofErr w:type="spellEnd"/>
      <w:r w:rsidRPr="00144ACD">
        <w:rPr>
          <w:sz w:val="24"/>
          <w:szCs w:val="24"/>
        </w:rPr>
        <w:t xml:space="preserve"> Tributaria, que soliciten </w:t>
      </w:r>
      <w:proofErr w:type="spellStart"/>
      <w:r w:rsidRPr="00144ACD">
        <w:rPr>
          <w:sz w:val="24"/>
          <w:szCs w:val="24"/>
        </w:rPr>
        <w:t>ou</w:t>
      </w:r>
      <w:proofErr w:type="spellEnd"/>
      <w:r w:rsidRPr="00144ACD">
        <w:rPr>
          <w:sz w:val="24"/>
          <w:szCs w:val="24"/>
        </w:rPr>
        <w:t xml:space="preserve"> resulten beneficiadas polos servicios a que se </w:t>
      </w:r>
      <w:proofErr w:type="spellStart"/>
      <w:r w:rsidRPr="00144ACD">
        <w:rPr>
          <w:sz w:val="24"/>
          <w:szCs w:val="24"/>
        </w:rPr>
        <w:t>refire</w:t>
      </w:r>
      <w:proofErr w:type="spellEnd"/>
      <w:r w:rsidRPr="00144ACD">
        <w:rPr>
          <w:sz w:val="24"/>
          <w:szCs w:val="24"/>
        </w:rPr>
        <w:t xml:space="preserve"> esta Ordenanza.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Terán a consideración de substitutos do </w:t>
      </w:r>
      <w:proofErr w:type="spellStart"/>
      <w:r w:rsidRPr="00144ACD">
        <w:rPr>
          <w:sz w:val="24"/>
          <w:szCs w:val="24"/>
        </w:rPr>
        <w:t>contribuínte</w:t>
      </w:r>
      <w:proofErr w:type="spellEnd"/>
      <w:r w:rsidRPr="00144ACD">
        <w:rPr>
          <w:sz w:val="24"/>
          <w:szCs w:val="24"/>
        </w:rPr>
        <w:t xml:space="preserve"> os propietarios das </w:t>
      </w:r>
      <w:proofErr w:type="spellStart"/>
      <w:r w:rsidRPr="00144ACD">
        <w:rPr>
          <w:sz w:val="24"/>
          <w:szCs w:val="24"/>
        </w:rPr>
        <w:t>vivendas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ou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locais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ás</w:t>
      </w:r>
      <w:proofErr w:type="spellEnd"/>
      <w:r w:rsidRPr="00144ACD">
        <w:rPr>
          <w:sz w:val="24"/>
          <w:szCs w:val="24"/>
        </w:rPr>
        <w:t xml:space="preserve"> que se provea do servicio, as cales </w:t>
      </w:r>
      <w:proofErr w:type="spellStart"/>
      <w:r w:rsidRPr="00144ACD">
        <w:rPr>
          <w:sz w:val="24"/>
          <w:szCs w:val="24"/>
        </w:rPr>
        <w:t>poderán</w:t>
      </w:r>
      <w:proofErr w:type="spellEnd"/>
      <w:r w:rsidRPr="00144ACD">
        <w:rPr>
          <w:sz w:val="24"/>
          <w:szCs w:val="24"/>
        </w:rPr>
        <w:t xml:space="preserve"> repercutir, no </w:t>
      </w:r>
      <w:proofErr w:type="spellStart"/>
      <w:r w:rsidRPr="00144ACD">
        <w:rPr>
          <w:sz w:val="24"/>
          <w:szCs w:val="24"/>
        </w:rPr>
        <w:t>seu</w:t>
      </w:r>
      <w:proofErr w:type="spellEnd"/>
      <w:r w:rsidRPr="00144ACD">
        <w:rPr>
          <w:sz w:val="24"/>
          <w:szCs w:val="24"/>
        </w:rPr>
        <w:t xml:space="preserve"> caso, as cotas sobres os respectivos beneficiarios.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44ACD">
        <w:rPr>
          <w:rFonts w:cs="Arial"/>
          <w:b/>
          <w:sz w:val="24"/>
          <w:szCs w:val="24"/>
        </w:rPr>
        <w:t>Artigo 5. Responsables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1) Responderán solidariamente das </w:t>
      </w:r>
      <w:proofErr w:type="spellStart"/>
      <w:r w:rsidRPr="00144ACD">
        <w:rPr>
          <w:sz w:val="24"/>
          <w:szCs w:val="24"/>
        </w:rPr>
        <w:t>obrigas</w:t>
      </w:r>
      <w:proofErr w:type="spellEnd"/>
      <w:r w:rsidRPr="00144ACD">
        <w:rPr>
          <w:sz w:val="24"/>
          <w:szCs w:val="24"/>
        </w:rPr>
        <w:t xml:space="preserve"> tributarias do </w:t>
      </w:r>
      <w:proofErr w:type="spellStart"/>
      <w:r w:rsidRPr="00144ACD">
        <w:rPr>
          <w:sz w:val="24"/>
          <w:szCs w:val="24"/>
        </w:rPr>
        <w:t>suxeito</w:t>
      </w:r>
      <w:proofErr w:type="spellEnd"/>
      <w:r w:rsidRPr="00144ACD">
        <w:rPr>
          <w:sz w:val="24"/>
          <w:szCs w:val="24"/>
        </w:rPr>
        <w:t xml:space="preserve"> pasivo, as </w:t>
      </w:r>
      <w:proofErr w:type="spellStart"/>
      <w:r w:rsidRPr="00144ACD">
        <w:rPr>
          <w:sz w:val="24"/>
          <w:szCs w:val="24"/>
        </w:rPr>
        <w:t>persoas</w:t>
      </w:r>
      <w:proofErr w:type="spellEnd"/>
      <w:r w:rsidRPr="00144ACD">
        <w:rPr>
          <w:sz w:val="24"/>
          <w:szCs w:val="24"/>
        </w:rPr>
        <w:t xml:space="preserve"> físicas </w:t>
      </w:r>
      <w:proofErr w:type="spellStart"/>
      <w:r w:rsidRPr="00144ACD">
        <w:rPr>
          <w:sz w:val="24"/>
          <w:szCs w:val="24"/>
        </w:rPr>
        <w:t>ou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xurídicas</w:t>
      </w:r>
      <w:proofErr w:type="spellEnd"/>
      <w:r w:rsidRPr="00144ACD">
        <w:rPr>
          <w:sz w:val="24"/>
          <w:szCs w:val="24"/>
        </w:rPr>
        <w:t xml:space="preserve"> que son causantes </w:t>
      </w:r>
      <w:proofErr w:type="spellStart"/>
      <w:r w:rsidRPr="00144ACD">
        <w:rPr>
          <w:sz w:val="24"/>
          <w:szCs w:val="24"/>
        </w:rPr>
        <w:t>ou</w:t>
      </w:r>
      <w:proofErr w:type="spellEnd"/>
      <w:r w:rsidRPr="00144ACD">
        <w:rPr>
          <w:sz w:val="24"/>
          <w:szCs w:val="24"/>
        </w:rPr>
        <w:t xml:space="preserve"> colaboran na realización </w:t>
      </w:r>
      <w:proofErr w:type="spellStart"/>
      <w:r w:rsidRPr="00144ACD">
        <w:rPr>
          <w:sz w:val="24"/>
          <w:szCs w:val="24"/>
        </w:rPr>
        <w:t>dunha</w:t>
      </w:r>
      <w:proofErr w:type="spellEnd"/>
      <w:r w:rsidRPr="00144ACD">
        <w:rPr>
          <w:sz w:val="24"/>
          <w:szCs w:val="24"/>
        </w:rPr>
        <w:t xml:space="preserve"> infracción tributaria, así como os copartícipes </w:t>
      </w:r>
      <w:proofErr w:type="spellStart"/>
      <w:r w:rsidRPr="00144ACD">
        <w:rPr>
          <w:sz w:val="24"/>
          <w:szCs w:val="24"/>
        </w:rPr>
        <w:t>ou</w:t>
      </w:r>
      <w:proofErr w:type="spellEnd"/>
      <w:r w:rsidRPr="00144ACD">
        <w:rPr>
          <w:sz w:val="24"/>
          <w:szCs w:val="24"/>
        </w:rPr>
        <w:t xml:space="preserve"> cotitulares das Entidades </w:t>
      </w:r>
      <w:proofErr w:type="spellStart"/>
      <w:r w:rsidRPr="00144ACD">
        <w:rPr>
          <w:sz w:val="24"/>
          <w:szCs w:val="24"/>
        </w:rPr>
        <w:t>recollidas</w:t>
      </w:r>
      <w:proofErr w:type="spellEnd"/>
      <w:r w:rsidRPr="00144ACD">
        <w:rPr>
          <w:sz w:val="24"/>
          <w:szCs w:val="24"/>
        </w:rPr>
        <w:t xml:space="preserve"> no artigo 33 da </w:t>
      </w:r>
      <w:proofErr w:type="spellStart"/>
      <w:r w:rsidRPr="00144ACD">
        <w:rPr>
          <w:sz w:val="24"/>
          <w:szCs w:val="24"/>
        </w:rPr>
        <w:t>Lei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Xeral</w:t>
      </w:r>
      <w:proofErr w:type="spellEnd"/>
      <w:r w:rsidRPr="00144ACD">
        <w:rPr>
          <w:sz w:val="24"/>
          <w:szCs w:val="24"/>
        </w:rPr>
        <w:t xml:space="preserve"> Tributaria, que responderán en proporción a </w:t>
      </w:r>
      <w:proofErr w:type="spellStart"/>
      <w:r w:rsidRPr="00144ACD">
        <w:rPr>
          <w:sz w:val="24"/>
          <w:szCs w:val="24"/>
        </w:rPr>
        <w:t>súas</w:t>
      </w:r>
      <w:proofErr w:type="spellEnd"/>
      <w:r w:rsidRPr="00144ACD">
        <w:rPr>
          <w:sz w:val="24"/>
          <w:szCs w:val="24"/>
        </w:rPr>
        <w:t xml:space="preserve"> respectivas </w:t>
      </w:r>
      <w:proofErr w:type="spellStart"/>
      <w:r w:rsidRPr="00144ACD">
        <w:rPr>
          <w:sz w:val="24"/>
          <w:szCs w:val="24"/>
        </w:rPr>
        <w:t>participacións</w:t>
      </w:r>
      <w:proofErr w:type="spellEnd"/>
      <w:r w:rsidRPr="00144ACD">
        <w:rPr>
          <w:sz w:val="24"/>
          <w:szCs w:val="24"/>
        </w:rPr>
        <w:t xml:space="preserve"> das </w:t>
      </w:r>
      <w:proofErr w:type="spellStart"/>
      <w:r w:rsidRPr="00144ACD">
        <w:rPr>
          <w:sz w:val="24"/>
          <w:szCs w:val="24"/>
        </w:rPr>
        <w:t>obrigas</w:t>
      </w:r>
      <w:proofErr w:type="spellEnd"/>
      <w:r w:rsidRPr="00144ACD">
        <w:rPr>
          <w:sz w:val="24"/>
          <w:szCs w:val="24"/>
        </w:rPr>
        <w:t xml:space="preserve"> tributarias de ditas entidades.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2) Serán responsable subsidiarios os administradores </w:t>
      </w:r>
      <w:proofErr w:type="spellStart"/>
      <w:r w:rsidRPr="00144ACD">
        <w:rPr>
          <w:sz w:val="24"/>
          <w:szCs w:val="24"/>
        </w:rPr>
        <w:t>ou</w:t>
      </w:r>
      <w:proofErr w:type="spellEnd"/>
      <w:r w:rsidRPr="00144ACD">
        <w:rPr>
          <w:sz w:val="24"/>
          <w:szCs w:val="24"/>
        </w:rPr>
        <w:t xml:space="preserve"> liquidadores de </w:t>
      </w:r>
      <w:proofErr w:type="spellStart"/>
      <w:r w:rsidRPr="00144ACD">
        <w:rPr>
          <w:sz w:val="24"/>
          <w:szCs w:val="24"/>
        </w:rPr>
        <w:t>quebras</w:t>
      </w:r>
      <w:proofErr w:type="spellEnd"/>
      <w:r w:rsidRPr="00144ACD">
        <w:rPr>
          <w:sz w:val="24"/>
          <w:szCs w:val="24"/>
        </w:rPr>
        <w:t xml:space="preserve">, concursos, sociedades e entidades en </w:t>
      </w:r>
      <w:proofErr w:type="spellStart"/>
      <w:r w:rsidRPr="00144ACD">
        <w:rPr>
          <w:sz w:val="24"/>
          <w:szCs w:val="24"/>
        </w:rPr>
        <w:t>xeral</w:t>
      </w:r>
      <w:proofErr w:type="spellEnd"/>
      <w:r w:rsidRPr="00144ACD">
        <w:rPr>
          <w:sz w:val="24"/>
          <w:szCs w:val="24"/>
        </w:rPr>
        <w:t xml:space="preserve">, nos </w:t>
      </w:r>
      <w:proofErr w:type="spellStart"/>
      <w:r w:rsidRPr="00144ACD">
        <w:rPr>
          <w:sz w:val="24"/>
          <w:szCs w:val="24"/>
        </w:rPr>
        <w:t>supostos</w:t>
      </w:r>
      <w:proofErr w:type="spellEnd"/>
      <w:r w:rsidRPr="00144ACD">
        <w:rPr>
          <w:sz w:val="24"/>
          <w:szCs w:val="24"/>
        </w:rPr>
        <w:t xml:space="preserve"> e con alcance que </w:t>
      </w:r>
      <w:proofErr w:type="spellStart"/>
      <w:r w:rsidRPr="00144ACD">
        <w:rPr>
          <w:sz w:val="24"/>
          <w:szCs w:val="24"/>
        </w:rPr>
        <w:t>sinale</w:t>
      </w:r>
      <w:proofErr w:type="spellEnd"/>
      <w:r w:rsidRPr="00144ACD">
        <w:rPr>
          <w:sz w:val="24"/>
          <w:szCs w:val="24"/>
        </w:rPr>
        <w:t xml:space="preserve"> o artigo 40 da </w:t>
      </w:r>
      <w:proofErr w:type="spellStart"/>
      <w:r w:rsidRPr="00144ACD">
        <w:rPr>
          <w:sz w:val="24"/>
          <w:szCs w:val="24"/>
        </w:rPr>
        <w:t>Lei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Xeral</w:t>
      </w:r>
      <w:proofErr w:type="spellEnd"/>
      <w:r w:rsidRPr="00144ACD">
        <w:rPr>
          <w:sz w:val="24"/>
          <w:szCs w:val="24"/>
        </w:rPr>
        <w:t xml:space="preserve"> Tributaria.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44ACD">
        <w:rPr>
          <w:rFonts w:cs="Arial"/>
          <w:b/>
          <w:sz w:val="24"/>
          <w:szCs w:val="24"/>
        </w:rPr>
        <w:t xml:space="preserve">Artigo 6. Base </w:t>
      </w:r>
      <w:proofErr w:type="spellStart"/>
      <w:r w:rsidRPr="00144ACD">
        <w:rPr>
          <w:rFonts w:cs="Arial"/>
          <w:b/>
          <w:sz w:val="24"/>
          <w:szCs w:val="24"/>
        </w:rPr>
        <w:t>impoñible</w:t>
      </w:r>
      <w:proofErr w:type="spellEnd"/>
      <w:r w:rsidRPr="00144ACD">
        <w:rPr>
          <w:rFonts w:cs="Arial"/>
          <w:b/>
          <w:sz w:val="24"/>
          <w:szCs w:val="24"/>
        </w:rPr>
        <w:t xml:space="preserve"> e liquidable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A base do presente tributo estará </w:t>
      </w:r>
      <w:proofErr w:type="spellStart"/>
      <w:r w:rsidRPr="00144ACD">
        <w:rPr>
          <w:sz w:val="24"/>
          <w:szCs w:val="24"/>
        </w:rPr>
        <w:t>constituída</w:t>
      </w:r>
      <w:proofErr w:type="spellEnd"/>
      <w:r w:rsidRPr="00144ACD">
        <w:rPr>
          <w:sz w:val="24"/>
          <w:szCs w:val="24"/>
        </w:rPr>
        <w:t xml:space="preserve"> por: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As acometidas á rede </w:t>
      </w:r>
      <w:proofErr w:type="spellStart"/>
      <w:r w:rsidRPr="00144ACD">
        <w:rPr>
          <w:sz w:val="24"/>
          <w:szCs w:val="24"/>
        </w:rPr>
        <w:t>xeral</w:t>
      </w:r>
      <w:proofErr w:type="spellEnd"/>
      <w:r w:rsidRPr="00144ACD">
        <w:rPr>
          <w:sz w:val="24"/>
          <w:szCs w:val="24"/>
        </w:rPr>
        <w:t xml:space="preserve">: o </w:t>
      </w:r>
      <w:proofErr w:type="spellStart"/>
      <w:r w:rsidRPr="00144ACD">
        <w:rPr>
          <w:sz w:val="24"/>
          <w:szCs w:val="24"/>
        </w:rPr>
        <w:t>feito</w:t>
      </w:r>
      <w:proofErr w:type="spellEnd"/>
      <w:r w:rsidRPr="00144ACD">
        <w:rPr>
          <w:sz w:val="24"/>
          <w:szCs w:val="24"/>
        </w:rPr>
        <w:t xml:space="preserve"> da conexión </w:t>
      </w:r>
      <w:proofErr w:type="spellStart"/>
      <w:r w:rsidRPr="00144ACD">
        <w:rPr>
          <w:sz w:val="24"/>
          <w:szCs w:val="24"/>
        </w:rPr>
        <w:t>á</w:t>
      </w:r>
      <w:proofErr w:type="spellEnd"/>
      <w:r w:rsidRPr="00144ACD">
        <w:rPr>
          <w:sz w:val="24"/>
          <w:szCs w:val="24"/>
        </w:rPr>
        <w:t xml:space="preserve"> rede por cada local comercial, </w:t>
      </w:r>
      <w:proofErr w:type="spellStart"/>
      <w:r w:rsidRPr="00144ACD">
        <w:rPr>
          <w:sz w:val="24"/>
          <w:szCs w:val="24"/>
        </w:rPr>
        <w:t>vivenda</w:t>
      </w:r>
      <w:proofErr w:type="spellEnd"/>
      <w:r w:rsidRPr="00144ACD">
        <w:rPr>
          <w:sz w:val="24"/>
          <w:szCs w:val="24"/>
        </w:rPr>
        <w:t xml:space="preserve"> individual.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No subministro </w:t>
      </w:r>
      <w:proofErr w:type="spellStart"/>
      <w:r w:rsidRPr="00144ACD">
        <w:rPr>
          <w:sz w:val="24"/>
          <w:szCs w:val="24"/>
        </w:rPr>
        <w:t>ou</w:t>
      </w:r>
      <w:proofErr w:type="spellEnd"/>
      <w:r w:rsidRPr="00144ACD">
        <w:rPr>
          <w:sz w:val="24"/>
          <w:szCs w:val="24"/>
        </w:rPr>
        <w:t xml:space="preserve"> distribución de </w:t>
      </w:r>
      <w:proofErr w:type="spellStart"/>
      <w:r w:rsidRPr="00144ACD">
        <w:rPr>
          <w:sz w:val="24"/>
          <w:szCs w:val="24"/>
        </w:rPr>
        <w:t>auga</w:t>
      </w:r>
      <w:proofErr w:type="spellEnd"/>
      <w:r w:rsidRPr="00144ACD">
        <w:rPr>
          <w:sz w:val="24"/>
          <w:szCs w:val="24"/>
        </w:rPr>
        <w:t xml:space="preserve">: os metros cúbicos de </w:t>
      </w:r>
      <w:proofErr w:type="spellStart"/>
      <w:r w:rsidRPr="00144ACD">
        <w:rPr>
          <w:sz w:val="24"/>
          <w:szCs w:val="24"/>
        </w:rPr>
        <w:t>auga</w:t>
      </w:r>
      <w:proofErr w:type="spellEnd"/>
      <w:r w:rsidRPr="00144ACD">
        <w:rPr>
          <w:sz w:val="24"/>
          <w:szCs w:val="24"/>
        </w:rPr>
        <w:t xml:space="preserve"> consumida no inmoble </w:t>
      </w:r>
      <w:proofErr w:type="spellStart"/>
      <w:r w:rsidRPr="00144ACD">
        <w:rPr>
          <w:sz w:val="24"/>
          <w:szCs w:val="24"/>
        </w:rPr>
        <w:t>onde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estea</w:t>
      </w:r>
      <w:proofErr w:type="spellEnd"/>
      <w:r w:rsidRPr="00144ACD">
        <w:rPr>
          <w:sz w:val="24"/>
          <w:szCs w:val="24"/>
        </w:rPr>
        <w:t xml:space="preserve"> instalado o servicio. No servicio de </w:t>
      </w:r>
      <w:proofErr w:type="spellStart"/>
      <w:r w:rsidRPr="00144ACD">
        <w:rPr>
          <w:sz w:val="24"/>
          <w:szCs w:val="24"/>
        </w:rPr>
        <w:t>saneamento</w:t>
      </w:r>
      <w:proofErr w:type="spellEnd"/>
      <w:r w:rsidRPr="00144ACD">
        <w:rPr>
          <w:sz w:val="24"/>
          <w:szCs w:val="24"/>
        </w:rPr>
        <w:t xml:space="preserve">: os metros cúbicos facturados en </w:t>
      </w:r>
      <w:proofErr w:type="spellStart"/>
      <w:r w:rsidRPr="00144ACD">
        <w:rPr>
          <w:sz w:val="24"/>
          <w:szCs w:val="24"/>
        </w:rPr>
        <w:t>auga</w:t>
      </w:r>
      <w:proofErr w:type="spellEnd"/>
      <w:r w:rsidRPr="00144ACD">
        <w:rPr>
          <w:sz w:val="24"/>
          <w:szCs w:val="24"/>
        </w:rPr>
        <w:t>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44ACD">
        <w:rPr>
          <w:rFonts w:cs="Arial"/>
          <w:b/>
          <w:sz w:val="24"/>
          <w:szCs w:val="24"/>
        </w:rPr>
        <w:t>Artigo 7. Cotas tributarias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  <w:gridCol w:w="1204"/>
      </w:tblGrid>
      <w:tr w:rsidR="009F0805" w:rsidRPr="00144ACD" w:rsidTr="003B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144ACD">
              <w:rPr>
                <w:i/>
                <w:sz w:val="24"/>
                <w:szCs w:val="24"/>
              </w:rPr>
              <w:t>SUBMINISTRACION DE AUGA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44ACD">
              <w:rPr>
                <w:i/>
                <w:sz w:val="24"/>
                <w:szCs w:val="24"/>
              </w:rPr>
              <w:t>€/MES</w:t>
            </w:r>
          </w:p>
        </w:tc>
      </w:tr>
      <w:tr w:rsidR="009F0805" w:rsidRPr="00144ACD" w:rsidTr="003B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A) Usos domésticos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0805" w:rsidRPr="00144ACD" w:rsidTr="003B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Mínimo ata 15 m3/mes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0,349 €/m3</w:t>
            </w:r>
          </w:p>
        </w:tc>
      </w:tr>
      <w:tr w:rsidR="009F0805" w:rsidRPr="00144ACD" w:rsidTr="003B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Exceso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0,410 €/m3</w:t>
            </w:r>
          </w:p>
        </w:tc>
      </w:tr>
      <w:tr w:rsidR="009F0805" w:rsidRPr="00144ACD" w:rsidTr="003B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 xml:space="preserve">B) Usos </w:t>
            </w:r>
            <w:proofErr w:type="spellStart"/>
            <w:r w:rsidRPr="00144ACD">
              <w:rPr>
                <w:sz w:val="24"/>
                <w:szCs w:val="24"/>
              </w:rPr>
              <w:t>industriais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0805" w:rsidRPr="00144ACD" w:rsidTr="003B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Mínimo ata 30 m3/mes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0,349 €/m3</w:t>
            </w:r>
          </w:p>
        </w:tc>
      </w:tr>
      <w:tr w:rsidR="009F0805" w:rsidRPr="00144ACD" w:rsidTr="003B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Exceso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0,433 €/m3</w:t>
            </w:r>
          </w:p>
        </w:tc>
      </w:tr>
      <w:tr w:rsidR="009F0805" w:rsidRPr="00144ACD" w:rsidTr="003B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144ACD">
              <w:rPr>
                <w:i/>
                <w:sz w:val="24"/>
                <w:szCs w:val="24"/>
              </w:rPr>
              <w:lastRenderedPageBreak/>
              <w:t>SANEAMENTO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0805" w:rsidRPr="00144ACD" w:rsidTr="003B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 xml:space="preserve">Por m3 facturado de </w:t>
            </w:r>
            <w:proofErr w:type="spellStart"/>
            <w:r w:rsidRPr="00144ACD">
              <w:rPr>
                <w:sz w:val="24"/>
                <w:szCs w:val="24"/>
              </w:rPr>
              <w:t>auga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0,109€/m3</w:t>
            </w:r>
          </w:p>
        </w:tc>
      </w:tr>
    </w:tbl>
    <w:p w:rsidR="009F0805" w:rsidRDefault="009F0805" w:rsidP="009F0805">
      <w:pPr>
        <w:spacing w:after="0" w:line="240" w:lineRule="auto"/>
        <w:jc w:val="both"/>
        <w:rPr>
          <w:i/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i/>
          <w:sz w:val="24"/>
          <w:szCs w:val="24"/>
        </w:rPr>
      </w:pPr>
      <w:r w:rsidRPr="00144ACD">
        <w:rPr>
          <w:i/>
          <w:sz w:val="24"/>
          <w:szCs w:val="24"/>
        </w:rPr>
        <w:t>ACOMETIDAS ABASTECEMENTO: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>Arqueta para colocación de tapa de 15 x 15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44ACD">
        <w:rPr>
          <w:sz w:val="24"/>
          <w:szCs w:val="24"/>
        </w:rPr>
        <w:t>Lonxitude</w:t>
      </w:r>
      <w:proofErr w:type="spellEnd"/>
      <w:r w:rsidRPr="00144ACD">
        <w:rPr>
          <w:sz w:val="24"/>
          <w:szCs w:val="24"/>
        </w:rPr>
        <w:t xml:space="preserve"> de </w:t>
      </w:r>
      <w:proofErr w:type="spellStart"/>
      <w:r w:rsidRPr="00144ACD">
        <w:rPr>
          <w:sz w:val="24"/>
          <w:szCs w:val="24"/>
        </w:rPr>
        <w:t>zanxa</w:t>
      </w:r>
      <w:proofErr w:type="spellEnd"/>
      <w:r w:rsidRPr="00144ACD">
        <w:rPr>
          <w:sz w:val="24"/>
          <w:szCs w:val="24"/>
        </w:rPr>
        <w:t xml:space="preserve"> de 1 a 5 metros (apertura e peche e reposición de pavimento)</w:t>
      </w:r>
    </w:p>
    <w:p w:rsidR="009F0805" w:rsidRDefault="009F0805" w:rsidP="009F080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44ACD">
        <w:rPr>
          <w:sz w:val="24"/>
          <w:szCs w:val="24"/>
        </w:rPr>
        <w:t>Fanse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prezos</w:t>
      </w:r>
      <w:proofErr w:type="spellEnd"/>
      <w:r w:rsidRPr="00144ACD">
        <w:rPr>
          <w:sz w:val="24"/>
          <w:szCs w:val="24"/>
        </w:rPr>
        <w:t xml:space="preserve"> diferentes </w:t>
      </w:r>
      <w:proofErr w:type="spellStart"/>
      <w:r w:rsidRPr="00144ACD">
        <w:rPr>
          <w:sz w:val="24"/>
          <w:szCs w:val="24"/>
        </w:rPr>
        <w:t>dependendo</w:t>
      </w:r>
      <w:proofErr w:type="spellEnd"/>
      <w:r w:rsidRPr="00144ACD">
        <w:rPr>
          <w:sz w:val="24"/>
          <w:szCs w:val="24"/>
        </w:rPr>
        <w:t xml:space="preserve"> do diámetro da acometida e do tipo de reposición a realizar na </w:t>
      </w:r>
      <w:proofErr w:type="spellStart"/>
      <w:r w:rsidRPr="00144ACD">
        <w:rPr>
          <w:sz w:val="24"/>
          <w:szCs w:val="24"/>
        </w:rPr>
        <w:t>zanxa</w:t>
      </w:r>
      <w:proofErr w:type="spellEnd"/>
      <w:r w:rsidRPr="00144ACD">
        <w:rPr>
          <w:sz w:val="24"/>
          <w:szCs w:val="24"/>
        </w:rPr>
        <w:t xml:space="preserve"> e pavimento.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880"/>
        <w:gridCol w:w="880"/>
        <w:gridCol w:w="1476"/>
      </w:tblGrid>
      <w:tr w:rsidR="009F0805" w:rsidRPr="00144ACD" w:rsidTr="003B13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Acometida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Terra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Asfalto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Baldosa-acera</w:t>
            </w:r>
          </w:p>
        </w:tc>
      </w:tr>
      <w:tr w:rsidR="009F0805" w:rsidRPr="00144ACD" w:rsidTr="003B13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3/4”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326,34€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366,15€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400,24€</w:t>
            </w:r>
          </w:p>
        </w:tc>
      </w:tr>
      <w:tr w:rsidR="009F0805" w:rsidRPr="00144ACD" w:rsidTr="003B13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1”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346,74€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393,64€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417,95€</w:t>
            </w:r>
          </w:p>
        </w:tc>
      </w:tr>
      <w:tr w:rsidR="009F0805" w:rsidRPr="00144ACD" w:rsidTr="003B13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1 1/2”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381,56€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424,98€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465,96€</w:t>
            </w:r>
          </w:p>
        </w:tc>
      </w:tr>
      <w:tr w:rsidR="009F0805" w:rsidRPr="00144ACD" w:rsidTr="003B13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2”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420,53€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462,12€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504,92€</w:t>
            </w:r>
          </w:p>
        </w:tc>
      </w:tr>
    </w:tbl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Acometidas de </w:t>
      </w:r>
      <w:proofErr w:type="spellStart"/>
      <w:r w:rsidRPr="00144ACD">
        <w:rPr>
          <w:sz w:val="24"/>
          <w:szCs w:val="24"/>
        </w:rPr>
        <w:t>mais</w:t>
      </w:r>
      <w:proofErr w:type="spellEnd"/>
      <w:r w:rsidRPr="00144ACD">
        <w:rPr>
          <w:sz w:val="24"/>
          <w:szCs w:val="24"/>
        </w:rPr>
        <w:t xml:space="preserve"> de 5 metros </w:t>
      </w:r>
      <w:proofErr w:type="spellStart"/>
      <w:r w:rsidRPr="00144ACD">
        <w:rPr>
          <w:sz w:val="24"/>
          <w:szCs w:val="24"/>
        </w:rPr>
        <w:t>farase</w:t>
      </w:r>
      <w:proofErr w:type="spellEnd"/>
      <w:r w:rsidRPr="00144ACD">
        <w:rPr>
          <w:sz w:val="24"/>
          <w:szCs w:val="24"/>
        </w:rPr>
        <w:t xml:space="preserve"> un </w:t>
      </w:r>
      <w:proofErr w:type="spellStart"/>
      <w:r w:rsidRPr="00144ACD">
        <w:rPr>
          <w:sz w:val="24"/>
          <w:szCs w:val="24"/>
        </w:rPr>
        <w:t>presuposto</w:t>
      </w:r>
      <w:proofErr w:type="spellEnd"/>
      <w:r w:rsidRPr="00144ACD">
        <w:rPr>
          <w:sz w:val="24"/>
          <w:szCs w:val="24"/>
        </w:rPr>
        <w:t xml:space="preserve"> para cada caso.</w:t>
      </w:r>
    </w:p>
    <w:p w:rsidR="009F0805" w:rsidRDefault="009F0805" w:rsidP="009F0805">
      <w:pPr>
        <w:spacing w:after="0" w:line="240" w:lineRule="auto"/>
        <w:jc w:val="both"/>
        <w:rPr>
          <w:i/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i/>
          <w:sz w:val="24"/>
          <w:szCs w:val="24"/>
        </w:rPr>
      </w:pPr>
      <w:r w:rsidRPr="00144ACD">
        <w:rPr>
          <w:i/>
          <w:sz w:val="24"/>
          <w:szCs w:val="24"/>
        </w:rPr>
        <w:t>ACOMETIDA REDE DE SUMIDOIROS: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>Arqueta para colocación de tapa de 15 x 25</w:t>
      </w:r>
    </w:p>
    <w:p w:rsidR="009F0805" w:rsidRDefault="009F0805" w:rsidP="009F080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44ACD">
        <w:rPr>
          <w:sz w:val="24"/>
          <w:szCs w:val="24"/>
        </w:rPr>
        <w:t>Lonxitude</w:t>
      </w:r>
      <w:proofErr w:type="spellEnd"/>
      <w:r w:rsidRPr="00144ACD">
        <w:rPr>
          <w:sz w:val="24"/>
          <w:szCs w:val="24"/>
        </w:rPr>
        <w:t xml:space="preserve"> de </w:t>
      </w:r>
      <w:proofErr w:type="spellStart"/>
      <w:r w:rsidRPr="00144ACD">
        <w:rPr>
          <w:sz w:val="24"/>
          <w:szCs w:val="24"/>
        </w:rPr>
        <w:t>zanxa</w:t>
      </w:r>
      <w:proofErr w:type="spellEnd"/>
      <w:r w:rsidRPr="00144ACD">
        <w:rPr>
          <w:sz w:val="24"/>
          <w:szCs w:val="24"/>
        </w:rPr>
        <w:t xml:space="preserve"> de 1 a 5 metros (apertura e peche e reposición de pavimento)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934"/>
        <w:gridCol w:w="934"/>
        <w:gridCol w:w="1476"/>
      </w:tblGrid>
      <w:tr w:rsidR="009F0805" w:rsidRPr="00144ACD" w:rsidTr="003B13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Acometida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Terra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Asfalto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Baldosa-acera</w:t>
            </w:r>
          </w:p>
        </w:tc>
      </w:tr>
      <w:tr w:rsidR="009F0805" w:rsidRPr="00144ACD" w:rsidTr="003B13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160 mm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452,02 €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661,77 €</w:t>
            </w:r>
          </w:p>
        </w:tc>
        <w:tc>
          <w:tcPr>
            <w:tcW w:w="0" w:type="auto"/>
            <w:vAlign w:val="center"/>
            <w:hideMark/>
          </w:tcPr>
          <w:p w:rsidR="009F0805" w:rsidRPr="00144ACD" w:rsidRDefault="009F0805" w:rsidP="003B13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ACD">
              <w:rPr>
                <w:sz w:val="24"/>
                <w:szCs w:val="24"/>
              </w:rPr>
              <w:t>648,88 €</w:t>
            </w:r>
          </w:p>
        </w:tc>
      </w:tr>
    </w:tbl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Acometidas de </w:t>
      </w:r>
      <w:proofErr w:type="spellStart"/>
      <w:r w:rsidRPr="00144ACD">
        <w:rPr>
          <w:sz w:val="24"/>
          <w:szCs w:val="24"/>
        </w:rPr>
        <w:t>máis</w:t>
      </w:r>
      <w:proofErr w:type="spellEnd"/>
      <w:r w:rsidRPr="00144ACD">
        <w:rPr>
          <w:sz w:val="24"/>
          <w:szCs w:val="24"/>
        </w:rPr>
        <w:t xml:space="preserve"> de 5 metros </w:t>
      </w:r>
      <w:proofErr w:type="spellStart"/>
      <w:r w:rsidRPr="00144ACD">
        <w:rPr>
          <w:sz w:val="24"/>
          <w:szCs w:val="24"/>
        </w:rPr>
        <w:t>farase</w:t>
      </w:r>
      <w:proofErr w:type="spellEnd"/>
      <w:r w:rsidRPr="00144ACD">
        <w:rPr>
          <w:sz w:val="24"/>
          <w:szCs w:val="24"/>
        </w:rPr>
        <w:t xml:space="preserve"> un </w:t>
      </w:r>
      <w:proofErr w:type="spellStart"/>
      <w:r w:rsidRPr="00144ACD">
        <w:rPr>
          <w:sz w:val="24"/>
          <w:szCs w:val="24"/>
        </w:rPr>
        <w:t>presuposto</w:t>
      </w:r>
      <w:proofErr w:type="spellEnd"/>
      <w:r w:rsidRPr="00144ACD">
        <w:rPr>
          <w:sz w:val="24"/>
          <w:szCs w:val="24"/>
        </w:rPr>
        <w:t xml:space="preserve"> para cada caso.</w:t>
      </w:r>
    </w:p>
    <w:p w:rsidR="009F0805" w:rsidRDefault="009F0805" w:rsidP="009F0805">
      <w:pPr>
        <w:spacing w:after="0" w:line="240" w:lineRule="auto"/>
        <w:jc w:val="both"/>
        <w:rPr>
          <w:i/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i/>
          <w:sz w:val="24"/>
          <w:szCs w:val="24"/>
        </w:rPr>
      </w:pPr>
      <w:r w:rsidRPr="00144ACD">
        <w:rPr>
          <w:i/>
          <w:sz w:val="24"/>
          <w:szCs w:val="24"/>
        </w:rPr>
        <w:t xml:space="preserve">- </w:t>
      </w:r>
      <w:proofErr w:type="spellStart"/>
      <w:r w:rsidRPr="00144ACD">
        <w:rPr>
          <w:i/>
          <w:sz w:val="24"/>
          <w:szCs w:val="24"/>
        </w:rPr>
        <w:t>Variacións</w:t>
      </w:r>
      <w:proofErr w:type="spellEnd"/>
      <w:r w:rsidRPr="00144ACD">
        <w:rPr>
          <w:i/>
          <w:sz w:val="24"/>
          <w:szCs w:val="24"/>
        </w:rPr>
        <w:t xml:space="preserve"> de </w:t>
      </w:r>
      <w:proofErr w:type="spellStart"/>
      <w:r w:rsidRPr="00144ACD">
        <w:rPr>
          <w:i/>
          <w:sz w:val="24"/>
          <w:szCs w:val="24"/>
        </w:rPr>
        <w:t>titularidade</w:t>
      </w:r>
      <w:proofErr w:type="spellEnd"/>
      <w:r w:rsidRPr="00144ACD">
        <w:rPr>
          <w:i/>
          <w:sz w:val="24"/>
          <w:szCs w:val="24"/>
        </w:rPr>
        <w:t xml:space="preserve"> </w:t>
      </w:r>
      <w:proofErr w:type="spellStart"/>
      <w:r w:rsidRPr="00144ACD">
        <w:rPr>
          <w:i/>
          <w:sz w:val="24"/>
          <w:szCs w:val="24"/>
        </w:rPr>
        <w:t>sen</w:t>
      </w:r>
      <w:proofErr w:type="spellEnd"/>
      <w:r w:rsidRPr="00144ACD">
        <w:rPr>
          <w:i/>
          <w:sz w:val="24"/>
          <w:szCs w:val="24"/>
        </w:rPr>
        <w:t xml:space="preserve"> dar lugar a </w:t>
      </w:r>
      <w:proofErr w:type="spellStart"/>
      <w:r w:rsidRPr="00144ACD">
        <w:rPr>
          <w:i/>
          <w:sz w:val="24"/>
          <w:szCs w:val="24"/>
        </w:rPr>
        <w:t>modificacións</w:t>
      </w:r>
      <w:proofErr w:type="spellEnd"/>
      <w:r w:rsidRPr="00144ACD">
        <w:rPr>
          <w:i/>
          <w:sz w:val="24"/>
          <w:szCs w:val="24"/>
        </w:rPr>
        <w:t xml:space="preserve"> </w:t>
      </w:r>
      <w:proofErr w:type="spellStart"/>
      <w:r w:rsidRPr="00144ACD">
        <w:rPr>
          <w:i/>
          <w:sz w:val="24"/>
          <w:szCs w:val="24"/>
        </w:rPr>
        <w:t>nas</w:t>
      </w:r>
      <w:proofErr w:type="spellEnd"/>
      <w:r w:rsidRPr="00144ACD">
        <w:rPr>
          <w:i/>
          <w:sz w:val="24"/>
          <w:szCs w:val="24"/>
        </w:rPr>
        <w:t xml:space="preserve"> </w:t>
      </w:r>
      <w:proofErr w:type="spellStart"/>
      <w:r w:rsidRPr="00144ACD">
        <w:rPr>
          <w:i/>
          <w:sz w:val="24"/>
          <w:szCs w:val="24"/>
        </w:rPr>
        <w:t>instalacións</w:t>
      </w:r>
      <w:proofErr w:type="spellEnd"/>
      <w:r w:rsidRPr="00144ACD">
        <w:rPr>
          <w:i/>
          <w:sz w:val="24"/>
          <w:szCs w:val="24"/>
        </w:rPr>
        <w:t>: 14,41€.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b/>
          <w:sz w:val="24"/>
          <w:szCs w:val="24"/>
        </w:rPr>
      </w:pPr>
      <w:r w:rsidRPr="00144ACD">
        <w:rPr>
          <w:b/>
          <w:sz w:val="24"/>
          <w:szCs w:val="24"/>
        </w:rPr>
        <w:t xml:space="preserve">Artigo 8. </w:t>
      </w:r>
      <w:proofErr w:type="spellStart"/>
      <w:r w:rsidRPr="00144ACD">
        <w:rPr>
          <w:b/>
          <w:sz w:val="24"/>
          <w:szCs w:val="24"/>
        </w:rPr>
        <w:t>Exencións</w:t>
      </w:r>
      <w:proofErr w:type="spellEnd"/>
      <w:r w:rsidRPr="00144ACD">
        <w:rPr>
          <w:b/>
          <w:sz w:val="24"/>
          <w:szCs w:val="24"/>
        </w:rPr>
        <w:t xml:space="preserve">, </w:t>
      </w:r>
      <w:proofErr w:type="spellStart"/>
      <w:r w:rsidRPr="00144ACD">
        <w:rPr>
          <w:b/>
          <w:sz w:val="24"/>
          <w:szCs w:val="24"/>
        </w:rPr>
        <w:t>reduccións</w:t>
      </w:r>
      <w:proofErr w:type="spellEnd"/>
      <w:r w:rsidRPr="00144ACD">
        <w:rPr>
          <w:b/>
          <w:sz w:val="24"/>
          <w:szCs w:val="24"/>
        </w:rPr>
        <w:t xml:space="preserve"> e </w:t>
      </w:r>
      <w:proofErr w:type="spellStart"/>
      <w:r w:rsidRPr="00144ACD">
        <w:rPr>
          <w:b/>
          <w:sz w:val="24"/>
          <w:szCs w:val="24"/>
        </w:rPr>
        <w:t>demais</w:t>
      </w:r>
      <w:proofErr w:type="spellEnd"/>
      <w:r w:rsidRPr="00144ACD">
        <w:rPr>
          <w:b/>
          <w:sz w:val="24"/>
          <w:szCs w:val="24"/>
        </w:rPr>
        <w:t xml:space="preserve"> beneficios legalmente aplicables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De </w:t>
      </w:r>
      <w:proofErr w:type="spellStart"/>
      <w:r w:rsidRPr="00144ACD">
        <w:rPr>
          <w:sz w:val="24"/>
          <w:szCs w:val="24"/>
        </w:rPr>
        <w:t>conformidade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co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disposto</w:t>
      </w:r>
      <w:proofErr w:type="spellEnd"/>
      <w:r w:rsidRPr="00144ACD">
        <w:rPr>
          <w:sz w:val="24"/>
          <w:szCs w:val="24"/>
        </w:rPr>
        <w:t xml:space="preserve"> no artigo 9 do R.D.L. 2/2004, do 5 de marzo, non se </w:t>
      </w:r>
      <w:proofErr w:type="spellStart"/>
      <w:r w:rsidRPr="00144ACD">
        <w:rPr>
          <w:sz w:val="24"/>
          <w:szCs w:val="24"/>
        </w:rPr>
        <w:t>recoñece</w:t>
      </w:r>
      <w:proofErr w:type="spellEnd"/>
      <w:r w:rsidRPr="00144ACD">
        <w:rPr>
          <w:sz w:val="24"/>
          <w:szCs w:val="24"/>
        </w:rPr>
        <w:t xml:space="preserve"> beneficio tributario algún, salvo os que </w:t>
      </w:r>
      <w:proofErr w:type="spellStart"/>
      <w:r w:rsidRPr="00144ACD">
        <w:rPr>
          <w:sz w:val="24"/>
          <w:szCs w:val="24"/>
        </w:rPr>
        <w:t>sexan</w:t>
      </w:r>
      <w:proofErr w:type="spellEnd"/>
      <w:r w:rsidRPr="00144ACD">
        <w:rPr>
          <w:sz w:val="24"/>
          <w:szCs w:val="24"/>
        </w:rPr>
        <w:t xml:space="preserve"> consecuencia do establecido nos Tratados </w:t>
      </w:r>
      <w:proofErr w:type="spellStart"/>
      <w:r w:rsidRPr="00144ACD">
        <w:rPr>
          <w:sz w:val="24"/>
          <w:szCs w:val="24"/>
        </w:rPr>
        <w:t>ou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Acordos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Internacionais</w:t>
      </w:r>
      <w:proofErr w:type="spellEnd"/>
      <w:r w:rsidRPr="00144ACD">
        <w:rPr>
          <w:sz w:val="24"/>
          <w:szCs w:val="24"/>
        </w:rPr>
        <w:t xml:space="preserve">, </w:t>
      </w:r>
      <w:proofErr w:type="spellStart"/>
      <w:r w:rsidRPr="00144ACD">
        <w:rPr>
          <w:sz w:val="24"/>
          <w:szCs w:val="24"/>
        </w:rPr>
        <w:t>ou</w:t>
      </w:r>
      <w:proofErr w:type="spellEnd"/>
      <w:r w:rsidRPr="00144ACD">
        <w:rPr>
          <w:sz w:val="24"/>
          <w:szCs w:val="24"/>
        </w:rPr>
        <w:t xml:space="preserve"> os expresamente previstos en normas con rango de </w:t>
      </w:r>
      <w:proofErr w:type="spellStart"/>
      <w:r w:rsidRPr="00144ACD">
        <w:rPr>
          <w:sz w:val="24"/>
          <w:szCs w:val="24"/>
        </w:rPr>
        <w:t>Lei</w:t>
      </w:r>
      <w:proofErr w:type="spellEnd"/>
      <w:r w:rsidRPr="00144ACD">
        <w:rPr>
          <w:sz w:val="24"/>
          <w:szCs w:val="24"/>
        </w:rPr>
        <w:t>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44ACD">
        <w:rPr>
          <w:rFonts w:cs="Arial"/>
          <w:b/>
          <w:sz w:val="24"/>
          <w:szCs w:val="24"/>
        </w:rPr>
        <w:t xml:space="preserve">Artigo 9. Normas de </w:t>
      </w:r>
      <w:proofErr w:type="spellStart"/>
      <w:r w:rsidRPr="00144ACD">
        <w:rPr>
          <w:rFonts w:cs="Arial"/>
          <w:b/>
          <w:sz w:val="24"/>
          <w:szCs w:val="24"/>
        </w:rPr>
        <w:t>xestión</w:t>
      </w:r>
      <w:proofErr w:type="spellEnd"/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44ACD">
        <w:rPr>
          <w:sz w:val="24"/>
          <w:szCs w:val="24"/>
        </w:rPr>
        <w:t>Nas</w:t>
      </w:r>
      <w:proofErr w:type="spellEnd"/>
      <w:r w:rsidRPr="00144ACD">
        <w:rPr>
          <w:sz w:val="24"/>
          <w:szCs w:val="24"/>
        </w:rPr>
        <w:t xml:space="preserve"> épocas de seca </w:t>
      </w:r>
      <w:proofErr w:type="spellStart"/>
      <w:r w:rsidRPr="00144ACD">
        <w:rPr>
          <w:sz w:val="24"/>
          <w:szCs w:val="24"/>
        </w:rPr>
        <w:t>ou</w:t>
      </w:r>
      <w:proofErr w:type="spellEnd"/>
      <w:r w:rsidRPr="00144ACD">
        <w:rPr>
          <w:sz w:val="24"/>
          <w:szCs w:val="24"/>
        </w:rPr>
        <w:t xml:space="preserve"> carestía da </w:t>
      </w:r>
      <w:proofErr w:type="spellStart"/>
      <w:r w:rsidRPr="00144ACD">
        <w:rPr>
          <w:sz w:val="24"/>
          <w:szCs w:val="24"/>
        </w:rPr>
        <w:t>auga</w:t>
      </w:r>
      <w:proofErr w:type="spellEnd"/>
      <w:r w:rsidRPr="00144ACD">
        <w:rPr>
          <w:sz w:val="24"/>
          <w:szCs w:val="24"/>
        </w:rPr>
        <w:t xml:space="preserve"> e durante os meses de </w:t>
      </w:r>
      <w:proofErr w:type="spellStart"/>
      <w:r w:rsidRPr="00144ACD">
        <w:rPr>
          <w:sz w:val="24"/>
          <w:szCs w:val="24"/>
        </w:rPr>
        <w:t>xullo</w:t>
      </w:r>
      <w:proofErr w:type="spellEnd"/>
      <w:r w:rsidRPr="00144ACD">
        <w:rPr>
          <w:sz w:val="24"/>
          <w:szCs w:val="24"/>
        </w:rPr>
        <w:t xml:space="preserve">, agosto e </w:t>
      </w:r>
      <w:proofErr w:type="spellStart"/>
      <w:r w:rsidRPr="00144ACD">
        <w:rPr>
          <w:sz w:val="24"/>
          <w:szCs w:val="24"/>
        </w:rPr>
        <w:t>setembro</w:t>
      </w:r>
      <w:proofErr w:type="spellEnd"/>
      <w:r w:rsidRPr="00144ACD">
        <w:rPr>
          <w:sz w:val="24"/>
          <w:szCs w:val="24"/>
        </w:rPr>
        <w:t xml:space="preserve">, o Concello </w:t>
      </w:r>
      <w:proofErr w:type="spellStart"/>
      <w:r w:rsidRPr="00144ACD">
        <w:rPr>
          <w:sz w:val="24"/>
          <w:szCs w:val="24"/>
        </w:rPr>
        <w:t>poderá</w:t>
      </w:r>
      <w:proofErr w:type="spellEnd"/>
      <w:r w:rsidRPr="00144ACD">
        <w:rPr>
          <w:sz w:val="24"/>
          <w:szCs w:val="24"/>
        </w:rPr>
        <w:t xml:space="preserve"> ordenar a restricción do consumo, segundo o </w:t>
      </w:r>
      <w:proofErr w:type="spellStart"/>
      <w:r w:rsidRPr="00144ACD">
        <w:rPr>
          <w:sz w:val="24"/>
          <w:szCs w:val="24"/>
        </w:rPr>
        <w:t>esixa</w:t>
      </w:r>
      <w:proofErr w:type="spellEnd"/>
      <w:r w:rsidRPr="00144ACD">
        <w:rPr>
          <w:sz w:val="24"/>
          <w:szCs w:val="24"/>
        </w:rPr>
        <w:t xml:space="preserve"> as circunstancias. </w:t>
      </w:r>
      <w:proofErr w:type="spellStart"/>
      <w:r w:rsidRPr="00144ACD">
        <w:rPr>
          <w:sz w:val="24"/>
          <w:szCs w:val="24"/>
        </w:rPr>
        <w:t>Mentres</w:t>
      </w:r>
      <w:proofErr w:type="spellEnd"/>
      <w:r w:rsidRPr="00144ACD">
        <w:rPr>
          <w:sz w:val="24"/>
          <w:szCs w:val="24"/>
        </w:rPr>
        <w:t xml:space="preserve"> dure a seca </w:t>
      </w:r>
      <w:proofErr w:type="spellStart"/>
      <w:r w:rsidRPr="00144ACD">
        <w:rPr>
          <w:sz w:val="24"/>
          <w:szCs w:val="24"/>
        </w:rPr>
        <w:t>ou</w:t>
      </w:r>
      <w:proofErr w:type="spellEnd"/>
      <w:r w:rsidRPr="00144ACD">
        <w:rPr>
          <w:sz w:val="24"/>
          <w:szCs w:val="24"/>
        </w:rPr>
        <w:t xml:space="preserve"> carestía e </w:t>
      </w:r>
      <w:proofErr w:type="spellStart"/>
      <w:r w:rsidRPr="00144ACD">
        <w:rPr>
          <w:sz w:val="24"/>
          <w:szCs w:val="24"/>
        </w:rPr>
        <w:t>sempre</w:t>
      </w:r>
      <w:proofErr w:type="spellEnd"/>
      <w:r w:rsidRPr="00144ACD">
        <w:rPr>
          <w:sz w:val="24"/>
          <w:szCs w:val="24"/>
        </w:rPr>
        <w:t xml:space="preserve"> durante os meses citados, o uso da </w:t>
      </w:r>
      <w:proofErr w:type="spellStart"/>
      <w:r w:rsidRPr="00144ACD">
        <w:rPr>
          <w:sz w:val="24"/>
          <w:szCs w:val="24"/>
        </w:rPr>
        <w:t>auga</w:t>
      </w:r>
      <w:proofErr w:type="spellEnd"/>
      <w:r w:rsidRPr="00144ACD">
        <w:rPr>
          <w:sz w:val="24"/>
          <w:szCs w:val="24"/>
        </w:rPr>
        <w:t xml:space="preserve"> queda limitado exclusivamente </w:t>
      </w:r>
      <w:proofErr w:type="spellStart"/>
      <w:r w:rsidRPr="00144ACD">
        <w:rPr>
          <w:sz w:val="24"/>
          <w:szCs w:val="24"/>
        </w:rPr>
        <w:t>ó</w:t>
      </w:r>
      <w:proofErr w:type="spellEnd"/>
      <w:r w:rsidRPr="00144ACD">
        <w:rPr>
          <w:sz w:val="24"/>
          <w:szCs w:val="24"/>
        </w:rPr>
        <w:t xml:space="preserve"> uso doméstico, quedando prohibido o </w:t>
      </w:r>
      <w:proofErr w:type="spellStart"/>
      <w:r w:rsidRPr="00144ACD">
        <w:rPr>
          <w:sz w:val="24"/>
          <w:szCs w:val="24"/>
        </w:rPr>
        <w:lastRenderedPageBreak/>
        <w:t>seu</w:t>
      </w:r>
      <w:proofErr w:type="spellEnd"/>
      <w:r w:rsidRPr="00144ACD">
        <w:rPr>
          <w:sz w:val="24"/>
          <w:szCs w:val="24"/>
        </w:rPr>
        <w:t xml:space="preserve"> consumo para </w:t>
      </w:r>
      <w:proofErr w:type="spellStart"/>
      <w:r w:rsidRPr="00144ACD">
        <w:rPr>
          <w:sz w:val="24"/>
          <w:szCs w:val="24"/>
        </w:rPr>
        <w:t>outros</w:t>
      </w:r>
      <w:proofErr w:type="spellEnd"/>
      <w:r w:rsidRPr="00144ACD">
        <w:rPr>
          <w:sz w:val="24"/>
          <w:szCs w:val="24"/>
        </w:rPr>
        <w:t xml:space="preserve"> usos, tales como regar </w:t>
      </w:r>
      <w:proofErr w:type="spellStart"/>
      <w:r w:rsidRPr="00144ACD">
        <w:rPr>
          <w:sz w:val="24"/>
          <w:szCs w:val="24"/>
        </w:rPr>
        <w:t>xardíns</w:t>
      </w:r>
      <w:proofErr w:type="spellEnd"/>
      <w:r w:rsidRPr="00144ACD">
        <w:rPr>
          <w:sz w:val="24"/>
          <w:szCs w:val="24"/>
        </w:rPr>
        <w:t xml:space="preserve">, </w:t>
      </w:r>
      <w:proofErr w:type="spellStart"/>
      <w:r w:rsidRPr="00144ACD">
        <w:rPr>
          <w:sz w:val="24"/>
          <w:szCs w:val="24"/>
        </w:rPr>
        <w:t>lavadoiros</w:t>
      </w:r>
      <w:proofErr w:type="spellEnd"/>
      <w:r w:rsidRPr="00144ACD">
        <w:rPr>
          <w:sz w:val="24"/>
          <w:szCs w:val="24"/>
        </w:rPr>
        <w:t xml:space="preserve">, piscinas, lavado de coches e en </w:t>
      </w:r>
      <w:proofErr w:type="spellStart"/>
      <w:r w:rsidRPr="00144ACD">
        <w:rPr>
          <w:sz w:val="24"/>
          <w:szCs w:val="24"/>
        </w:rPr>
        <w:t>xeral</w:t>
      </w:r>
      <w:proofErr w:type="spellEnd"/>
      <w:r w:rsidRPr="00144ACD">
        <w:rPr>
          <w:sz w:val="24"/>
          <w:szCs w:val="24"/>
        </w:rPr>
        <w:t xml:space="preserve">, todo o que non </w:t>
      </w:r>
      <w:proofErr w:type="spellStart"/>
      <w:r w:rsidRPr="00144ACD">
        <w:rPr>
          <w:sz w:val="24"/>
          <w:szCs w:val="24"/>
        </w:rPr>
        <w:t>supoña</w:t>
      </w:r>
      <w:proofErr w:type="spellEnd"/>
      <w:r w:rsidRPr="00144ACD">
        <w:rPr>
          <w:sz w:val="24"/>
          <w:szCs w:val="24"/>
        </w:rPr>
        <w:t xml:space="preserve"> uso doméstico.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No caso de que por </w:t>
      </w:r>
      <w:proofErr w:type="spellStart"/>
      <w:r w:rsidRPr="00144ACD">
        <w:rPr>
          <w:sz w:val="24"/>
          <w:szCs w:val="24"/>
        </w:rPr>
        <w:t>escaseza</w:t>
      </w:r>
      <w:proofErr w:type="spellEnd"/>
      <w:r w:rsidRPr="00144ACD">
        <w:rPr>
          <w:sz w:val="24"/>
          <w:szCs w:val="24"/>
        </w:rPr>
        <w:t xml:space="preserve"> de caudal, </w:t>
      </w:r>
      <w:proofErr w:type="spellStart"/>
      <w:r w:rsidRPr="00144ACD">
        <w:rPr>
          <w:sz w:val="24"/>
          <w:szCs w:val="24"/>
        </w:rPr>
        <w:t>augas</w:t>
      </w:r>
      <w:proofErr w:type="spellEnd"/>
      <w:r w:rsidRPr="00144ACD">
        <w:rPr>
          <w:sz w:val="24"/>
          <w:szCs w:val="24"/>
        </w:rPr>
        <w:t xml:space="preserve"> sucias, seca, </w:t>
      </w:r>
      <w:proofErr w:type="spellStart"/>
      <w:r w:rsidRPr="00144ACD">
        <w:rPr>
          <w:sz w:val="24"/>
          <w:szCs w:val="24"/>
        </w:rPr>
        <w:t>xeadas</w:t>
      </w:r>
      <w:proofErr w:type="spellEnd"/>
      <w:r w:rsidRPr="00144ACD">
        <w:rPr>
          <w:sz w:val="24"/>
          <w:szCs w:val="24"/>
        </w:rPr>
        <w:t xml:space="preserve">, </w:t>
      </w:r>
      <w:proofErr w:type="spellStart"/>
      <w:r w:rsidRPr="00144ACD">
        <w:rPr>
          <w:sz w:val="24"/>
          <w:szCs w:val="24"/>
        </w:rPr>
        <w:t>reparacións</w:t>
      </w:r>
      <w:proofErr w:type="spellEnd"/>
      <w:r w:rsidRPr="00144ACD">
        <w:rPr>
          <w:sz w:val="24"/>
          <w:szCs w:val="24"/>
        </w:rPr>
        <w:t xml:space="preserve">, etc., o Concello </w:t>
      </w:r>
      <w:proofErr w:type="spellStart"/>
      <w:r w:rsidRPr="00144ACD">
        <w:rPr>
          <w:sz w:val="24"/>
          <w:szCs w:val="24"/>
        </w:rPr>
        <w:t>tivera</w:t>
      </w:r>
      <w:proofErr w:type="spellEnd"/>
      <w:r w:rsidRPr="00144ACD">
        <w:rPr>
          <w:sz w:val="24"/>
          <w:szCs w:val="24"/>
        </w:rPr>
        <w:t xml:space="preserve"> que suspender total </w:t>
      </w:r>
      <w:proofErr w:type="spellStart"/>
      <w:r w:rsidRPr="00144ACD">
        <w:rPr>
          <w:sz w:val="24"/>
          <w:szCs w:val="24"/>
        </w:rPr>
        <w:t>ou</w:t>
      </w:r>
      <w:proofErr w:type="spellEnd"/>
      <w:r w:rsidRPr="00144ACD">
        <w:rPr>
          <w:sz w:val="24"/>
          <w:szCs w:val="24"/>
        </w:rPr>
        <w:t xml:space="preserve"> parcialmente o subministro, os abonados non </w:t>
      </w:r>
      <w:proofErr w:type="spellStart"/>
      <w:r w:rsidRPr="00144ACD">
        <w:rPr>
          <w:sz w:val="24"/>
          <w:szCs w:val="24"/>
        </w:rPr>
        <w:t>terán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dereito</w:t>
      </w:r>
      <w:proofErr w:type="spellEnd"/>
      <w:r w:rsidRPr="00144ACD">
        <w:rPr>
          <w:sz w:val="24"/>
          <w:szCs w:val="24"/>
        </w:rPr>
        <w:t xml:space="preserve"> a reclamación </w:t>
      </w:r>
      <w:proofErr w:type="spellStart"/>
      <w:r w:rsidRPr="00144ACD">
        <w:rPr>
          <w:sz w:val="24"/>
          <w:szCs w:val="24"/>
        </w:rPr>
        <w:t>algunha</w:t>
      </w:r>
      <w:proofErr w:type="spellEnd"/>
      <w:r w:rsidRPr="00144ACD">
        <w:rPr>
          <w:sz w:val="24"/>
          <w:szCs w:val="24"/>
        </w:rPr>
        <w:t xml:space="preserve">, </w:t>
      </w:r>
      <w:proofErr w:type="spellStart"/>
      <w:r w:rsidRPr="00144ACD">
        <w:rPr>
          <w:sz w:val="24"/>
          <w:szCs w:val="24"/>
        </w:rPr>
        <w:t>nin</w:t>
      </w:r>
      <w:proofErr w:type="spellEnd"/>
      <w:r w:rsidRPr="00144ACD">
        <w:rPr>
          <w:sz w:val="24"/>
          <w:szCs w:val="24"/>
        </w:rPr>
        <w:t xml:space="preserve"> indemnización por danos, </w:t>
      </w:r>
      <w:proofErr w:type="spellStart"/>
      <w:r w:rsidRPr="00144ACD">
        <w:rPr>
          <w:sz w:val="24"/>
          <w:szCs w:val="24"/>
        </w:rPr>
        <w:t>prexuízos</w:t>
      </w:r>
      <w:proofErr w:type="spellEnd"/>
      <w:r w:rsidRPr="00144ACD">
        <w:rPr>
          <w:sz w:val="24"/>
          <w:szCs w:val="24"/>
        </w:rPr>
        <w:t xml:space="preserve">, </w:t>
      </w:r>
      <w:proofErr w:type="spellStart"/>
      <w:r w:rsidRPr="00144ACD">
        <w:rPr>
          <w:sz w:val="24"/>
          <w:szCs w:val="24"/>
        </w:rPr>
        <w:t>ou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calquera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outro</w:t>
      </w:r>
      <w:proofErr w:type="spellEnd"/>
      <w:r w:rsidRPr="00144ACD">
        <w:rPr>
          <w:sz w:val="24"/>
          <w:szCs w:val="24"/>
        </w:rPr>
        <w:t xml:space="preserve"> concepto, </w:t>
      </w:r>
      <w:proofErr w:type="spellStart"/>
      <w:r w:rsidRPr="00144ACD">
        <w:rPr>
          <w:sz w:val="24"/>
          <w:szCs w:val="24"/>
        </w:rPr>
        <w:t>entendéndose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neste</w:t>
      </w:r>
      <w:proofErr w:type="spellEnd"/>
      <w:r w:rsidRPr="00144ACD">
        <w:rPr>
          <w:sz w:val="24"/>
          <w:szCs w:val="24"/>
        </w:rPr>
        <w:t xml:space="preserve"> sentido que a concesión se </w:t>
      </w:r>
      <w:proofErr w:type="spellStart"/>
      <w:r w:rsidRPr="00144ACD">
        <w:rPr>
          <w:sz w:val="24"/>
          <w:szCs w:val="24"/>
        </w:rPr>
        <w:t>fixo</w:t>
      </w:r>
      <w:proofErr w:type="spellEnd"/>
      <w:r w:rsidRPr="00144ACD">
        <w:rPr>
          <w:sz w:val="24"/>
          <w:szCs w:val="24"/>
        </w:rPr>
        <w:t xml:space="preserve"> a título precario.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44ACD">
        <w:rPr>
          <w:rFonts w:cs="Arial"/>
          <w:b/>
          <w:sz w:val="24"/>
          <w:szCs w:val="24"/>
        </w:rPr>
        <w:t xml:space="preserve">Artigo 10. </w:t>
      </w:r>
      <w:proofErr w:type="spellStart"/>
      <w:r w:rsidRPr="00144ACD">
        <w:rPr>
          <w:rFonts w:cs="Arial"/>
          <w:b/>
          <w:sz w:val="24"/>
          <w:szCs w:val="24"/>
        </w:rPr>
        <w:t>Infraccións</w:t>
      </w:r>
      <w:proofErr w:type="spellEnd"/>
      <w:r w:rsidRPr="00144ACD">
        <w:rPr>
          <w:rFonts w:cs="Arial"/>
          <w:b/>
          <w:sz w:val="24"/>
          <w:szCs w:val="24"/>
        </w:rPr>
        <w:t xml:space="preserve"> e </w:t>
      </w:r>
      <w:proofErr w:type="spellStart"/>
      <w:r w:rsidRPr="00144ACD">
        <w:rPr>
          <w:rFonts w:cs="Arial"/>
          <w:b/>
          <w:sz w:val="24"/>
          <w:szCs w:val="24"/>
        </w:rPr>
        <w:t>sancións</w:t>
      </w:r>
      <w:proofErr w:type="spellEnd"/>
      <w:r w:rsidRPr="00144ACD">
        <w:rPr>
          <w:rFonts w:cs="Arial"/>
          <w:b/>
          <w:sz w:val="24"/>
          <w:szCs w:val="24"/>
        </w:rPr>
        <w:t xml:space="preserve"> tributarias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En todo o relativo </w:t>
      </w:r>
      <w:proofErr w:type="spellStart"/>
      <w:r w:rsidRPr="00144ACD">
        <w:rPr>
          <w:sz w:val="24"/>
          <w:szCs w:val="24"/>
        </w:rPr>
        <w:t>á</w:t>
      </w:r>
      <w:proofErr w:type="spellEnd"/>
      <w:r w:rsidRPr="00144ACD">
        <w:rPr>
          <w:sz w:val="24"/>
          <w:szCs w:val="24"/>
        </w:rPr>
        <w:t xml:space="preserve"> cualificación de </w:t>
      </w:r>
      <w:proofErr w:type="spellStart"/>
      <w:r w:rsidRPr="00144ACD">
        <w:rPr>
          <w:sz w:val="24"/>
          <w:szCs w:val="24"/>
        </w:rPr>
        <w:t>infraccións</w:t>
      </w:r>
      <w:proofErr w:type="spellEnd"/>
      <w:r w:rsidRPr="00144ACD">
        <w:rPr>
          <w:sz w:val="24"/>
          <w:szCs w:val="24"/>
        </w:rPr>
        <w:t xml:space="preserve"> tributarias e </w:t>
      </w:r>
      <w:proofErr w:type="spellStart"/>
      <w:r w:rsidRPr="00144ACD">
        <w:rPr>
          <w:sz w:val="24"/>
          <w:szCs w:val="24"/>
        </w:rPr>
        <w:t>sancións</w:t>
      </w:r>
      <w:proofErr w:type="spellEnd"/>
      <w:r w:rsidRPr="00144ACD">
        <w:rPr>
          <w:sz w:val="24"/>
          <w:szCs w:val="24"/>
        </w:rPr>
        <w:t xml:space="preserve">, </w:t>
      </w:r>
      <w:proofErr w:type="spellStart"/>
      <w:r w:rsidRPr="00144ACD">
        <w:rPr>
          <w:sz w:val="24"/>
          <w:szCs w:val="24"/>
        </w:rPr>
        <w:t>ademais</w:t>
      </w:r>
      <w:proofErr w:type="spellEnd"/>
      <w:r w:rsidRPr="00144ACD">
        <w:rPr>
          <w:sz w:val="24"/>
          <w:szCs w:val="24"/>
        </w:rPr>
        <w:t xml:space="preserve"> do previsto </w:t>
      </w:r>
      <w:proofErr w:type="spellStart"/>
      <w:r w:rsidRPr="00144ACD">
        <w:rPr>
          <w:sz w:val="24"/>
          <w:szCs w:val="24"/>
        </w:rPr>
        <w:t>nesta</w:t>
      </w:r>
      <w:proofErr w:type="spellEnd"/>
      <w:r w:rsidRPr="00144ACD">
        <w:rPr>
          <w:sz w:val="24"/>
          <w:szCs w:val="24"/>
        </w:rPr>
        <w:t xml:space="preserve"> ordenanza, </w:t>
      </w:r>
      <w:proofErr w:type="spellStart"/>
      <w:r w:rsidRPr="00144ACD">
        <w:rPr>
          <w:sz w:val="24"/>
          <w:szCs w:val="24"/>
        </w:rPr>
        <w:t>estarase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ó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disposto</w:t>
      </w:r>
      <w:proofErr w:type="spellEnd"/>
      <w:r w:rsidRPr="00144ACD">
        <w:rPr>
          <w:sz w:val="24"/>
          <w:szCs w:val="24"/>
        </w:rPr>
        <w:t xml:space="preserve"> nos </w:t>
      </w:r>
      <w:proofErr w:type="spellStart"/>
      <w:r w:rsidRPr="00144ACD">
        <w:rPr>
          <w:sz w:val="24"/>
          <w:szCs w:val="24"/>
        </w:rPr>
        <w:t>artigos</w:t>
      </w:r>
      <w:proofErr w:type="spellEnd"/>
      <w:r w:rsidRPr="00144ACD">
        <w:rPr>
          <w:sz w:val="24"/>
          <w:szCs w:val="24"/>
        </w:rPr>
        <w:t xml:space="preserve"> 77 e </w:t>
      </w:r>
      <w:proofErr w:type="spellStart"/>
      <w:r w:rsidRPr="00144ACD">
        <w:rPr>
          <w:sz w:val="24"/>
          <w:szCs w:val="24"/>
        </w:rPr>
        <w:t>seguintes</w:t>
      </w:r>
      <w:proofErr w:type="spellEnd"/>
      <w:r w:rsidRPr="00144ACD">
        <w:rPr>
          <w:sz w:val="24"/>
          <w:szCs w:val="24"/>
        </w:rPr>
        <w:t xml:space="preserve"> da </w:t>
      </w:r>
      <w:proofErr w:type="spellStart"/>
      <w:r w:rsidRPr="00144ACD">
        <w:rPr>
          <w:sz w:val="24"/>
          <w:szCs w:val="24"/>
        </w:rPr>
        <w:t>Lei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Xeral</w:t>
      </w:r>
      <w:proofErr w:type="spellEnd"/>
      <w:r w:rsidRPr="00144ACD">
        <w:rPr>
          <w:sz w:val="24"/>
          <w:szCs w:val="24"/>
        </w:rPr>
        <w:t xml:space="preserve"> Tributaria e </w:t>
      </w:r>
      <w:proofErr w:type="spellStart"/>
      <w:r w:rsidRPr="00144ACD">
        <w:rPr>
          <w:sz w:val="24"/>
          <w:szCs w:val="24"/>
        </w:rPr>
        <w:t>demais</w:t>
      </w:r>
      <w:proofErr w:type="spellEnd"/>
      <w:r w:rsidRPr="00144ACD">
        <w:rPr>
          <w:sz w:val="24"/>
          <w:szCs w:val="24"/>
        </w:rPr>
        <w:t xml:space="preserve"> normativa aplicable.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b/>
          <w:sz w:val="24"/>
          <w:szCs w:val="24"/>
        </w:rPr>
      </w:pPr>
      <w:r w:rsidRPr="00144ACD">
        <w:rPr>
          <w:b/>
          <w:sz w:val="24"/>
          <w:szCs w:val="24"/>
        </w:rPr>
        <w:t xml:space="preserve">Artigo 11. Remisión </w:t>
      </w:r>
      <w:proofErr w:type="spellStart"/>
      <w:r w:rsidRPr="00144ACD">
        <w:rPr>
          <w:b/>
          <w:sz w:val="24"/>
          <w:szCs w:val="24"/>
        </w:rPr>
        <w:t>ó</w:t>
      </w:r>
      <w:proofErr w:type="spellEnd"/>
      <w:r w:rsidRPr="00144ACD">
        <w:rPr>
          <w:b/>
          <w:sz w:val="24"/>
          <w:szCs w:val="24"/>
        </w:rPr>
        <w:t xml:space="preserve"> </w:t>
      </w:r>
      <w:proofErr w:type="spellStart"/>
      <w:r w:rsidRPr="00144ACD">
        <w:rPr>
          <w:b/>
          <w:sz w:val="24"/>
          <w:szCs w:val="24"/>
        </w:rPr>
        <w:t>regulamento</w:t>
      </w:r>
      <w:proofErr w:type="spellEnd"/>
      <w:r w:rsidRPr="00144ACD">
        <w:rPr>
          <w:b/>
          <w:sz w:val="24"/>
          <w:szCs w:val="24"/>
        </w:rPr>
        <w:t xml:space="preserve"> do servicio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En todo o non especialmente previsto </w:t>
      </w:r>
      <w:proofErr w:type="spellStart"/>
      <w:r w:rsidRPr="00144ACD">
        <w:rPr>
          <w:sz w:val="24"/>
          <w:szCs w:val="24"/>
        </w:rPr>
        <w:t>nesta</w:t>
      </w:r>
      <w:proofErr w:type="spellEnd"/>
      <w:r w:rsidRPr="00144ACD">
        <w:rPr>
          <w:sz w:val="24"/>
          <w:szCs w:val="24"/>
        </w:rPr>
        <w:t xml:space="preserve"> ordenanza, se estará </w:t>
      </w:r>
      <w:proofErr w:type="spellStart"/>
      <w:r w:rsidRPr="00144ACD">
        <w:rPr>
          <w:sz w:val="24"/>
          <w:szCs w:val="24"/>
        </w:rPr>
        <w:t>ó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disposto</w:t>
      </w:r>
      <w:proofErr w:type="spellEnd"/>
      <w:r w:rsidRPr="00144ACD">
        <w:rPr>
          <w:sz w:val="24"/>
          <w:szCs w:val="24"/>
        </w:rPr>
        <w:t xml:space="preserve"> no </w:t>
      </w:r>
      <w:proofErr w:type="spellStart"/>
      <w:r w:rsidRPr="00144ACD">
        <w:rPr>
          <w:sz w:val="24"/>
          <w:szCs w:val="24"/>
        </w:rPr>
        <w:t>Regulamento</w:t>
      </w:r>
      <w:proofErr w:type="spellEnd"/>
      <w:r w:rsidRPr="00144ACD">
        <w:rPr>
          <w:sz w:val="24"/>
          <w:szCs w:val="24"/>
        </w:rPr>
        <w:t xml:space="preserve"> do servicio municipal de </w:t>
      </w:r>
      <w:proofErr w:type="spellStart"/>
      <w:r w:rsidRPr="00144ACD">
        <w:rPr>
          <w:sz w:val="24"/>
          <w:szCs w:val="24"/>
        </w:rPr>
        <w:t>abastecemento</w:t>
      </w:r>
      <w:proofErr w:type="spellEnd"/>
      <w:r w:rsidRPr="00144ACD">
        <w:rPr>
          <w:sz w:val="24"/>
          <w:szCs w:val="24"/>
        </w:rPr>
        <w:t xml:space="preserve"> de </w:t>
      </w:r>
      <w:proofErr w:type="spellStart"/>
      <w:r w:rsidRPr="00144ACD">
        <w:rPr>
          <w:sz w:val="24"/>
          <w:szCs w:val="24"/>
        </w:rPr>
        <w:t>auga</w:t>
      </w:r>
      <w:proofErr w:type="spellEnd"/>
      <w:r w:rsidRPr="00144ACD">
        <w:rPr>
          <w:sz w:val="24"/>
          <w:szCs w:val="24"/>
        </w:rPr>
        <w:t xml:space="preserve">, </w:t>
      </w:r>
      <w:proofErr w:type="spellStart"/>
      <w:r w:rsidRPr="00144ACD">
        <w:rPr>
          <w:sz w:val="24"/>
          <w:szCs w:val="24"/>
        </w:rPr>
        <w:t>saneamento</w:t>
      </w:r>
      <w:proofErr w:type="spellEnd"/>
      <w:r w:rsidRPr="00144ACD">
        <w:rPr>
          <w:sz w:val="24"/>
          <w:szCs w:val="24"/>
        </w:rPr>
        <w:t xml:space="preserve"> e depuración do Concello de </w:t>
      </w:r>
      <w:proofErr w:type="spellStart"/>
      <w:r w:rsidRPr="00144ACD">
        <w:rPr>
          <w:sz w:val="24"/>
          <w:szCs w:val="24"/>
        </w:rPr>
        <w:t>Tordoia</w:t>
      </w:r>
      <w:proofErr w:type="spellEnd"/>
      <w:r w:rsidRPr="00144ACD">
        <w:rPr>
          <w:sz w:val="24"/>
          <w:szCs w:val="24"/>
        </w:rPr>
        <w:t>.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44ACD">
        <w:rPr>
          <w:rFonts w:cs="Arial"/>
          <w:b/>
          <w:sz w:val="24"/>
          <w:szCs w:val="24"/>
        </w:rPr>
        <w:t>Disposición transitoria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O </w:t>
      </w:r>
      <w:proofErr w:type="spellStart"/>
      <w:r w:rsidRPr="00144ACD">
        <w:rPr>
          <w:sz w:val="24"/>
          <w:szCs w:val="24"/>
        </w:rPr>
        <w:t>disposto</w:t>
      </w:r>
      <w:proofErr w:type="spellEnd"/>
      <w:r w:rsidRPr="00144ACD">
        <w:rPr>
          <w:sz w:val="24"/>
          <w:szCs w:val="24"/>
        </w:rPr>
        <w:t xml:space="preserve"> na presente ordenanza </w:t>
      </w:r>
      <w:proofErr w:type="spellStart"/>
      <w:r w:rsidRPr="00144ACD">
        <w:rPr>
          <w:sz w:val="24"/>
          <w:szCs w:val="24"/>
        </w:rPr>
        <w:t>entenderase</w:t>
      </w:r>
      <w:proofErr w:type="spellEnd"/>
      <w:r w:rsidRPr="00144ACD">
        <w:rPr>
          <w:sz w:val="24"/>
          <w:szCs w:val="24"/>
        </w:rPr>
        <w:t xml:space="preserve"> en todo caso, </w:t>
      </w:r>
      <w:proofErr w:type="spellStart"/>
      <w:r w:rsidRPr="00144ACD">
        <w:rPr>
          <w:sz w:val="24"/>
          <w:szCs w:val="24"/>
        </w:rPr>
        <w:t>sen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prexuízo</w:t>
      </w:r>
      <w:proofErr w:type="spellEnd"/>
      <w:r w:rsidRPr="00144ACD">
        <w:rPr>
          <w:sz w:val="24"/>
          <w:szCs w:val="24"/>
        </w:rPr>
        <w:t xml:space="preserve"> de </w:t>
      </w:r>
      <w:proofErr w:type="spellStart"/>
      <w:r w:rsidRPr="00144ACD">
        <w:rPr>
          <w:sz w:val="24"/>
          <w:szCs w:val="24"/>
        </w:rPr>
        <w:t>calquera</w:t>
      </w:r>
      <w:proofErr w:type="spellEnd"/>
      <w:r w:rsidRPr="00144ACD">
        <w:rPr>
          <w:sz w:val="24"/>
          <w:szCs w:val="24"/>
        </w:rPr>
        <w:t xml:space="preserve"> que </w:t>
      </w:r>
      <w:proofErr w:type="spellStart"/>
      <w:r w:rsidRPr="00144ACD">
        <w:rPr>
          <w:sz w:val="24"/>
          <w:szCs w:val="24"/>
        </w:rPr>
        <w:t>sexa</w:t>
      </w:r>
      <w:proofErr w:type="spellEnd"/>
      <w:r w:rsidRPr="00144ACD">
        <w:rPr>
          <w:sz w:val="24"/>
          <w:szCs w:val="24"/>
        </w:rPr>
        <w:t xml:space="preserve"> a forma de </w:t>
      </w:r>
      <w:proofErr w:type="spellStart"/>
      <w:r w:rsidRPr="00144ACD">
        <w:rPr>
          <w:sz w:val="24"/>
          <w:szCs w:val="24"/>
        </w:rPr>
        <w:t>xestión</w:t>
      </w:r>
      <w:proofErr w:type="spellEnd"/>
      <w:r w:rsidRPr="00144ACD">
        <w:rPr>
          <w:sz w:val="24"/>
          <w:szCs w:val="24"/>
        </w:rPr>
        <w:t xml:space="preserve"> do servicio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44ACD">
        <w:rPr>
          <w:rFonts w:cs="Arial"/>
          <w:b/>
          <w:sz w:val="24"/>
          <w:szCs w:val="24"/>
        </w:rPr>
        <w:t>Disposición final</w:t>
      </w: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</w:p>
    <w:p w:rsidR="009F0805" w:rsidRPr="00144ACD" w:rsidRDefault="009F0805" w:rsidP="009F0805">
      <w:pPr>
        <w:spacing w:after="0" w:line="240" w:lineRule="auto"/>
        <w:jc w:val="both"/>
        <w:rPr>
          <w:sz w:val="24"/>
          <w:szCs w:val="24"/>
        </w:rPr>
      </w:pPr>
      <w:r w:rsidRPr="00144ACD">
        <w:rPr>
          <w:sz w:val="24"/>
          <w:szCs w:val="24"/>
        </w:rPr>
        <w:t xml:space="preserve">A presente Ordenanza, </w:t>
      </w:r>
      <w:proofErr w:type="spellStart"/>
      <w:r w:rsidRPr="00144ACD">
        <w:rPr>
          <w:sz w:val="24"/>
          <w:szCs w:val="24"/>
        </w:rPr>
        <w:t>foi</w:t>
      </w:r>
      <w:proofErr w:type="spellEnd"/>
      <w:r w:rsidRPr="00144ACD">
        <w:rPr>
          <w:sz w:val="24"/>
          <w:szCs w:val="24"/>
        </w:rPr>
        <w:t xml:space="preserve"> aprobada polo Pleno en sesión celebrada o 9 de </w:t>
      </w:r>
      <w:proofErr w:type="spellStart"/>
      <w:r w:rsidRPr="00144ACD">
        <w:rPr>
          <w:sz w:val="24"/>
          <w:szCs w:val="24"/>
        </w:rPr>
        <w:t>decembro</w:t>
      </w:r>
      <w:proofErr w:type="spellEnd"/>
      <w:r w:rsidRPr="00144ACD">
        <w:rPr>
          <w:sz w:val="24"/>
          <w:szCs w:val="24"/>
        </w:rPr>
        <w:t xml:space="preserve"> de 2013, e entrará en vigor o </w:t>
      </w:r>
      <w:proofErr w:type="spellStart"/>
      <w:r w:rsidRPr="00144ACD">
        <w:rPr>
          <w:sz w:val="24"/>
          <w:szCs w:val="24"/>
        </w:rPr>
        <w:t>mesmo</w:t>
      </w:r>
      <w:proofErr w:type="spellEnd"/>
      <w:r w:rsidRPr="00144ACD">
        <w:rPr>
          <w:sz w:val="24"/>
          <w:szCs w:val="24"/>
        </w:rPr>
        <w:t xml:space="preserve"> día da </w:t>
      </w:r>
      <w:proofErr w:type="spellStart"/>
      <w:r w:rsidRPr="00144ACD">
        <w:rPr>
          <w:sz w:val="24"/>
          <w:szCs w:val="24"/>
        </w:rPr>
        <w:t>súa</w:t>
      </w:r>
      <w:proofErr w:type="spellEnd"/>
      <w:r w:rsidRPr="00144ACD">
        <w:rPr>
          <w:sz w:val="24"/>
          <w:szCs w:val="24"/>
        </w:rPr>
        <w:t xml:space="preserve"> publicación no Boletín Oficial da Provincia, e será de aplicación en tanto non se acorde a </w:t>
      </w:r>
      <w:proofErr w:type="spellStart"/>
      <w:r w:rsidRPr="00144ACD">
        <w:rPr>
          <w:sz w:val="24"/>
          <w:szCs w:val="24"/>
        </w:rPr>
        <w:t>súa</w:t>
      </w:r>
      <w:proofErr w:type="spellEnd"/>
      <w:r w:rsidRPr="00144ACD">
        <w:rPr>
          <w:sz w:val="24"/>
          <w:szCs w:val="24"/>
        </w:rPr>
        <w:t xml:space="preserve"> modificación </w:t>
      </w:r>
      <w:proofErr w:type="spellStart"/>
      <w:r w:rsidRPr="00144ACD">
        <w:rPr>
          <w:sz w:val="24"/>
          <w:szCs w:val="24"/>
        </w:rPr>
        <w:t>ou</w:t>
      </w:r>
      <w:proofErr w:type="spellEnd"/>
      <w:r w:rsidRPr="00144ACD">
        <w:rPr>
          <w:sz w:val="24"/>
          <w:szCs w:val="24"/>
        </w:rPr>
        <w:t xml:space="preserve"> </w:t>
      </w:r>
      <w:proofErr w:type="spellStart"/>
      <w:r w:rsidRPr="00144ACD">
        <w:rPr>
          <w:sz w:val="24"/>
          <w:szCs w:val="24"/>
        </w:rPr>
        <w:t>derrogación</w:t>
      </w:r>
      <w:proofErr w:type="spellEnd"/>
      <w:r w:rsidRPr="00144ACD">
        <w:rPr>
          <w:sz w:val="24"/>
          <w:szCs w:val="24"/>
        </w:rPr>
        <w:t xml:space="preserve"> expresa.</w:t>
      </w:r>
    </w:p>
    <w:p w:rsidR="00E31181" w:rsidRDefault="00E31181">
      <w:bookmarkStart w:id="0" w:name="_GoBack"/>
      <w:bookmarkEnd w:id="0"/>
    </w:p>
    <w:sectPr w:rsidR="00E3118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F2" w:rsidRDefault="00240FF2" w:rsidP="009F0805">
      <w:pPr>
        <w:spacing w:after="0" w:line="240" w:lineRule="auto"/>
      </w:pPr>
      <w:r>
        <w:separator/>
      </w:r>
    </w:p>
  </w:endnote>
  <w:endnote w:type="continuationSeparator" w:id="0">
    <w:p w:rsidR="00240FF2" w:rsidRDefault="00240FF2" w:rsidP="009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239378"/>
      <w:docPartObj>
        <w:docPartGallery w:val="Page Numbers (Bottom of Page)"/>
        <w:docPartUnique/>
      </w:docPartObj>
    </w:sdtPr>
    <w:sdtContent>
      <w:p w:rsidR="009F0805" w:rsidRDefault="009F080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0805" w:rsidRDefault="009F08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F2" w:rsidRDefault="00240FF2" w:rsidP="009F0805">
      <w:pPr>
        <w:spacing w:after="0" w:line="240" w:lineRule="auto"/>
      </w:pPr>
      <w:r>
        <w:separator/>
      </w:r>
    </w:p>
  </w:footnote>
  <w:footnote w:type="continuationSeparator" w:id="0">
    <w:p w:rsidR="00240FF2" w:rsidRDefault="00240FF2" w:rsidP="009F0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05"/>
    <w:rsid w:val="00240FF2"/>
    <w:rsid w:val="009F0805"/>
    <w:rsid w:val="00E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805"/>
  </w:style>
  <w:style w:type="paragraph" w:styleId="Piedepgina">
    <w:name w:val="footer"/>
    <w:basedOn w:val="Normal"/>
    <w:link w:val="PiedepginaCar"/>
    <w:uiPriority w:val="99"/>
    <w:unhideWhenUsed/>
    <w:rsid w:val="009F0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805"/>
  </w:style>
  <w:style w:type="paragraph" w:styleId="Piedepgina">
    <w:name w:val="footer"/>
    <w:basedOn w:val="Normal"/>
    <w:link w:val="PiedepginaCar"/>
    <w:uiPriority w:val="99"/>
    <w:unhideWhenUsed/>
    <w:rsid w:val="009F0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2015-12-01T18:15:00Z</dcterms:created>
  <dcterms:modified xsi:type="dcterms:W3CDTF">2015-12-01T18:16:00Z</dcterms:modified>
</cp:coreProperties>
</file>